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00A47FF3" w:rsidR="001564A4" w:rsidRPr="0050053A" w:rsidRDefault="005E379E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Identifying high risk respirato</w:t>
            </w:r>
            <w:r w:rsidR="00EB2DAE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ry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patients through longitudinal pharmacy dispensing data</w:t>
            </w:r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7FC31B7B" w:rsidR="001564A4" w:rsidRPr="001B2CAA" w:rsidRDefault="00211963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 w:rsidRPr="001B2CAA">
              <w:rPr>
                <w:rFonts w:ascii="Arial" w:hAnsi="Arial" w:cs="Arial"/>
                <w:sz w:val="22"/>
                <w:szCs w:val="22"/>
                <w:lang w:val="en-US" w:eastAsia="en-GB"/>
              </w:rPr>
              <w:t>Sinthia Bosnic-Anticevich</w:t>
            </w:r>
            <w:r w:rsidRPr="001B2CAA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1B2CAA" w:rsidRPr="001B2CAA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,2</w:t>
            </w:r>
            <w:r w:rsidRPr="001B2CAA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="00610C47" w:rsidRPr="001B2CAA">
              <w:rPr>
                <w:rFonts w:ascii="Arial" w:hAnsi="Arial" w:cs="Arial"/>
                <w:sz w:val="22"/>
                <w:szCs w:val="22"/>
                <w:lang w:val="en-US" w:eastAsia="en-GB"/>
              </w:rPr>
              <w:t>Biljana Cvetkovski</w:t>
            </w:r>
            <w:r w:rsidR="00E64B7C" w:rsidRPr="001B2CAA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</w:t>
            </w:r>
            <w:r w:rsidR="001564A4" w:rsidRPr="001B2CAA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1564A4" w:rsidRPr="001B2CAA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153A48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="00610C47" w:rsidRPr="001B2CAA">
              <w:rPr>
                <w:rFonts w:ascii="Arial" w:hAnsi="Arial" w:cs="Arial"/>
                <w:sz w:val="22"/>
                <w:szCs w:val="22"/>
                <w:lang w:val="en-US" w:eastAsia="en-GB"/>
              </w:rPr>
              <w:t>Rachel House</w:t>
            </w:r>
            <w:r w:rsidR="00E64B7C" w:rsidRPr="001B2CAA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</w:t>
            </w:r>
            <w:r w:rsidR="001564A4" w:rsidRPr="001B2CAA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153A48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="00610C47" w:rsidRPr="001B2CAA">
              <w:rPr>
                <w:rFonts w:ascii="Arial" w:hAnsi="Arial" w:cs="Arial"/>
                <w:sz w:val="22"/>
                <w:szCs w:val="22"/>
                <w:lang w:val="en-US" w:eastAsia="en-GB"/>
              </w:rPr>
              <w:t>Katherine Borg</w:t>
            </w:r>
            <w:r w:rsidR="00E64B7C" w:rsidRPr="001B2CAA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1564A4" w:rsidRPr="001B2CAA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1B2CAA" w:rsidRPr="001B2CAA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="001B2CAA" w:rsidRPr="001B2CAA">
              <w:rPr>
                <w:rFonts w:ascii="Arial" w:hAnsi="Arial" w:cs="Arial"/>
                <w:sz w:val="22"/>
                <w:szCs w:val="22"/>
                <w:lang w:val="en-US"/>
              </w:rPr>
              <w:t>Mike De Gama</w:t>
            </w:r>
            <w:r w:rsidR="001B2CAA" w:rsidRPr="001B2CAA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3</w:t>
            </w:r>
            <w:r w:rsidR="00153A48">
              <w:rPr>
                <w:rFonts w:ascii="Arial" w:hAnsi="Arial" w:cs="Arial"/>
                <w:sz w:val="22"/>
                <w:szCs w:val="22"/>
                <w:lang w:val="en-US"/>
              </w:rPr>
              <w:t xml:space="preserve"> and</w:t>
            </w:r>
            <w:r w:rsidR="001B2CAA" w:rsidRPr="001B2CAA">
              <w:rPr>
                <w:rFonts w:ascii="Arial" w:hAnsi="Arial" w:cs="Arial"/>
                <w:sz w:val="22"/>
                <w:szCs w:val="22"/>
                <w:lang w:val="en-US"/>
              </w:rPr>
              <w:t xml:space="preserve"> Marius Mather</w:t>
            </w:r>
            <w:r w:rsidR="001B2CAA" w:rsidRPr="001B2CAA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4</w:t>
            </w:r>
            <w:r w:rsidR="001B2CAA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3BD815D8" w14:textId="3113E89B" w:rsidR="001564A4" w:rsidRPr="001B2CAA" w:rsidRDefault="00E64B7C" w:rsidP="001B2CAA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1B2CA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1B2CAA">
              <w:rPr>
                <w:i/>
              </w:rPr>
              <w:t xml:space="preserve"> </w:t>
            </w:r>
            <w:r w:rsidRPr="001B2CA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Quality Use of Research Medicines Group, Woolcock Institute of Medical Research</w:t>
            </w:r>
          </w:p>
          <w:p w14:paraId="2DF5C049" w14:textId="45E0EB91" w:rsidR="00E64B7C" w:rsidRPr="001B2CAA" w:rsidRDefault="00E64B7C" w:rsidP="001B2CAA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1B2CA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2 </w:t>
            </w:r>
            <w:r w:rsidR="001B2CAA" w:rsidRPr="001B2CA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Macquarie University</w:t>
            </w:r>
          </w:p>
          <w:p w14:paraId="45C42411" w14:textId="57E6A000" w:rsidR="001B2CAA" w:rsidRPr="001B2CAA" w:rsidRDefault="001B2CAA" w:rsidP="001B2CAA">
            <w:pPr>
              <w:jc w:val="both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1B2CA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/>
              </w:rPr>
              <w:t>3</w:t>
            </w:r>
            <w:r w:rsidRPr="001B2CAA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B2CAA">
              <w:rPr>
                <w:rFonts w:ascii="Arial" w:hAnsi="Arial" w:cs="Arial"/>
                <w:i/>
                <w:sz w:val="22"/>
                <w:szCs w:val="22"/>
                <w:lang w:val="en-US"/>
              </w:rPr>
              <w:t>Nostradata</w:t>
            </w:r>
            <w:proofErr w:type="spellEnd"/>
            <w:r w:rsidRPr="001B2CAA">
              <w:rPr>
                <w:rFonts w:ascii="Arial" w:hAnsi="Arial" w:cs="Arial"/>
                <w:i/>
                <w:sz w:val="22"/>
                <w:szCs w:val="22"/>
                <w:lang w:val="en-US"/>
              </w:rPr>
              <w:t>, Kew, VIC, Australia</w:t>
            </w:r>
          </w:p>
          <w:p w14:paraId="1163470B" w14:textId="5A80DB38" w:rsidR="001B2CAA" w:rsidRPr="001B2CAA" w:rsidRDefault="001B2CAA" w:rsidP="001B2CAA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1B2CA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/>
              </w:rPr>
              <w:t xml:space="preserve">4 </w:t>
            </w:r>
            <w:r w:rsidRPr="001B2CAA">
              <w:rPr>
                <w:rFonts w:ascii="Arial" w:hAnsi="Arial" w:cs="Arial"/>
                <w:i/>
                <w:sz w:val="22"/>
                <w:szCs w:val="22"/>
                <w:lang w:val="en-US"/>
              </w:rPr>
              <w:t>Sydney Informatics Hub, The University of Sydney, Camperdown, NSW, Australia</w:t>
            </w:r>
          </w:p>
          <w:p w14:paraId="45ED36BF" w14:textId="2A1E8BC1" w:rsidR="00E64B7C" w:rsidRPr="0050053A" w:rsidRDefault="00E64B7C" w:rsidP="001B2CAA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</w:p>
        </w:tc>
      </w:tr>
      <w:tr w:rsidR="001564A4" w:rsidRPr="0050053A" w14:paraId="6DAF615A" w14:textId="77777777" w:rsidTr="000A28E2">
        <w:trPr>
          <w:trHeight w:hRule="exact" w:val="7352"/>
          <w:jc w:val="center"/>
        </w:trPr>
        <w:tc>
          <w:tcPr>
            <w:tcW w:w="8640" w:type="dxa"/>
            <w:shd w:val="clear" w:color="auto" w:fill="auto"/>
          </w:tcPr>
          <w:p w14:paraId="44A506B8" w14:textId="4C5A5530" w:rsidR="00820364" w:rsidRPr="00820364" w:rsidRDefault="001564A4" w:rsidP="001F47B4">
            <w:pPr>
              <w:pStyle w:val="Default"/>
              <w:jc w:val="both"/>
              <w:rPr>
                <w:sz w:val="22"/>
                <w:szCs w:val="22"/>
              </w:rPr>
            </w:pPr>
            <w:r w:rsidRPr="001B2CAA">
              <w:rPr>
                <w:rStyle w:val="A4"/>
                <w:b/>
                <w:bCs/>
              </w:rPr>
              <w:t xml:space="preserve">Introduction/Aim: </w:t>
            </w:r>
            <w:r w:rsidR="001B2CAA" w:rsidRPr="00820364">
              <w:rPr>
                <w:sz w:val="22"/>
                <w:szCs w:val="22"/>
              </w:rPr>
              <w:t>On average, Australians visit a community pharmacy 18 times per year, making community pharmacists the most frequen</w:t>
            </w:r>
            <w:r w:rsidR="005C4618">
              <w:rPr>
                <w:sz w:val="22"/>
                <w:szCs w:val="22"/>
              </w:rPr>
              <w:t>ted</w:t>
            </w:r>
            <w:r w:rsidR="001B2CAA" w:rsidRPr="00820364">
              <w:rPr>
                <w:sz w:val="22"/>
                <w:szCs w:val="22"/>
              </w:rPr>
              <w:t xml:space="preserve"> health care professional in the patient chronic disease journ</w:t>
            </w:r>
            <w:r w:rsidR="00810F8D" w:rsidRPr="00820364">
              <w:rPr>
                <w:sz w:val="22"/>
                <w:szCs w:val="22"/>
              </w:rPr>
              <w:t>e</w:t>
            </w:r>
            <w:r w:rsidR="001B2CAA" w:rsidRPr="00820364">
              <w:rPr>
                <w:sz w:val="22"/>
                <w:szCs w:val="22"/>
              </w:rPr>
              <w:t xml:space="preserve">y. </w:t>
            </w:r>
            <w:r w:rsidR="005E379E">
              <w:rPr>
                <w:sz w:val="22"/>
                <w:szCs w:val="22"/>
              </w:rPr>
              <w:t>During these community pharmacy interaction</w:t>
            </w:r>
            <w:r w:rsidR="003C6B6A">
              <w:rPr>
                <w:sz w:val="22"/>
                <w:szCs w:val="22"/>
              </w:rPr>
              <w:t>s</w:t>
            </w:r>
            <w:r w:rsidR="005E379E">
              <w:rPr>
                <w:sz w:val="22"/>
                <w:szCs w:val="22"/>
              </w:rPr>
              <w:t xml:space="preserve"> there should be both an opportunity and expectation that pharmacists will ensure the safe and effective use of respiratory medications. </w:t>
            </w:r>
            <w:r w:rsidR="003C6B6A">
              <w:rPr>
                <w:sz w:val="22"/>
                <w:szCs w:val="22"/>
              </w:rPr>
              <w:t>C</w:t>
            </w:r>
            <w:r w:rsidR="001F47B4">
              <w:rPr>
                <w:sz w:val="22"/>
                <w:szCs w:val="22"/>
              </w:rPr>
              <w:t>urrently there is no</w:t>
            </w:r>
            <w:r w:rsidR="005E379E">
              <w:rPr>
                <w:sz w:val="22"/>
                <w:szCs w:val="22"/>
              </w:rPr>
              <w:t xml:space="preserve"> </w:t>
            </w:r>
            <w:r w:rsidR="003C6B6A">
              <w:rPr>
                <w:sz w:val="22"/>
                <w:szCs w:val="22"/>
              </w:rPr>
              <w:t>standard</w:t>
            </w:r>
            <w:r w:rsidR="001F47B4">
              <w:rPr>
                <w:sz w:val="22"/>
                <w:szCs w:val="22"/>
              </w:rPr>
              <w:t xml:space="preserve"> framework </w:t>
            </w:r>
            <w:r w:rsidR="005E379E">
              <w:rPr>
                <w:sz w:val="22"/>
                <w:szCs w:val="22"/>
              </w:rPr>
              <w:t xml:space="preserve">by which this can be achieved and most interactions are ad hoc and at </w:t>
            </w:r>
            <w:r w:rsidR="003C6B6A">
              <w:rPr>
                <w:sz w:val="22"/>
                <w:szCs w:val="22"/>
              </w:rPr>
              <w:t>the</w:t>
            </w:r>
            <w:r w:rsidR="005E379E">
              <w:rPr>
                <w:sz w:val="22"/>
                <w:szCs w:val="22"/>
              </w:rPr>
              <w:t xml:space="preserve"> discretion of the pharmacist</w:t>
            </w:r>
            <w:r w:rsidR="003C6B6A">
              <w:rPr>
                <w:sz w:val="22"/>
                <w:szCs w:val="22"/>
              </w:rPr>
              <w:t xml:space="preserve"> and patient</w:t>
            </w:r>
            <w:r w:rsidR="005E379E">
              <w:rPr>
                <w:sz w:val="22"/>
                <w:szCs w:val="22"/>
              </w:rPr>
              <w:t xml:space="preserve">. </w:t>
            </w:r>
            <w:r w:rsidR="001B2CAA" w:rsidRPr="00820364">
              <w:rPr>
                <w:rStyle w:val="A4"/>
              </w:rPr>
              <w:t xml:space="preserve">This </w:t>
            </w:r>
            <w:r w:rsidR="00810F8D" w:rsidRPr="00820364">
              <w:rPr>
                <w:rStyle w:val="A4"/>
              </w:rPr>
              <w:t xml:space="preserve">study </w:t>
            </w:r>
            <w:r w:rsidR="001B2CAA" w:rsidRPr="00820364">
              <w:rPr>
                <w:rStyle w:val="A4"/>
              </w:rPr>
              <w:t>aim</w:t>
            </w:r>
            <w:r w:rsidR="005E379E">
              <w:rPr>
                <w:rStyle w:val="A4"/>
              </w:rPr>
              <w:t xml:space="preserve">ed to describe the potential pharmacist scope of practice around respiratory medication safety, as identified through longitudinal dispensing records. </w:t>
            </w:r>
            <w:r w:rsidR="001B2CAA" w:rsidRPr="00820364">
              <w:rPr>
                <w:rStyle w:val="A4"/>
              </w:rPr>
              <w:t xml:space="preserve"> </w:t>
            </w:r>
          </w:p>
          <w:p w14:paraId="6C9335C9" w14:textId="6C355B1F" w:rsidR="001B2CAA" w:rsidRPr="001B2CAA" w:rsidRDefault="001564A4" w:rsidP="001D19DD">
            <w:pPr>
              <w:pStyle w:val="Pa12"/>
              <w:jc w:val="both"/>
              <w:rPr>
                <w:rStyle w:val="A4"/>
                <w:lang w:val="en-GB"/>
              </w:rPr>
            </w:pPr>
            <w:r w:rsidRPr="001B2CAA">
              <w:rPr>
                <w:rStyle w:val="A4"/>
                <w:b/>
                <w:bCs/>
              </w:rPr>
              <w:t xml:space="preserve">Methods: </w:t>
            </w:r>
            <w:r w:rsidR="001B2CAA" w:rsidRPr="001B2CAA">
              <w:rPr>
                <w:rStyle w:val="A4"/>
              </w:rPr>
              <w:t>A</w:t>
            </w:r>
            <w:r w:rsidR="00FE0400">
              <w:rPr>
                <w:rStyle w:val="A4"/>
              </w:rPr>
              <w:t>n</w:t>
            </w:r>
            <w:r w:rsidR="000A26DD">
              <w:rPr>
                <w:rStyle w:val="A4"/>
              </w:rPr>
              <w:t xml:space="preserve"> o</w:t>
            </w:r>
            <w:r w:rsidR="001B2CAA" w:rsidRPr="001B2CAA">
              <w:rPr>
                <w:rStyle w:val="A4"/>
              </w:rPr>
              <w:t xml:space="preserve">bservational study of </w:t>
            </w:r>
            <w:r w:rsidR="00DD22A5">
              <w:rPr>
                <w:rStyle w:val="A4"/>
              </w:rPr>
              <w:t xml:space="preserve">de-identified </w:t>
            </w:r>
            <w:r w:rsidR="001B2CAA" w:rsidRPr="001B2CAA">
              <w:rPr>
                <w:rStyle w:val="A4"/>
              </w:rPr>
              <w:t xml:space="preserve">pharmacy dispensing data (2011 – 2019) </w:t>
            </w:r>
            <w:r w:rsidR="001D19DD">
              <w:rPr>
                <w:rStyle w:val="A4"/>
              </w:rPr>
              <w:t xml:space="preserve">from </w:t>
            </w:r>
            <w:proofErr w:type="spellStart"/>
            <w:r w:rsidR="001D19DD">
              <w:rPr>
                <w:rStyle w:val="A4"/>
              </w:rPr>
              <w:t>Nostradata</w:t>
            </w:r>
            <w:proofErr w:type="spellEnd"/>
            <w:r w:rsidR="001D19DD">
              <w:rPr>
                <w:rStyle w:val="A4"/>
              </w:rPr>
              <w:t xml:space="preserve"> </w:t>
            </w:r>
            <w:r w:rsidR="00770A9D">
              <w:rPr>
                <w:rStyle w:val="A4"/>
              </w:rPr>
              <w:t xml:space="preserve">(i.e., </w:t>
            </w:r>
            <w:r w:rsidR="00E57B76">
              <w:rPr>
                <w:rStyle w:val="A4"/>
              </w:rPr>
              <w:t xml:space="preserve">a </w:t>
            </w:r>
            <w:r w:rsidR="00770A9D">
              <w:rPr>
                <w:rStyle w:val="A4"/>
              </w:rPr>
              <w:t>database of patients’</w:t>
            </w:r>
            <w:r w:rsidR="001D19DD">
              <w:rPr>
                <w:rStyle w:val="A4"/>
              </w:rPr>
              <w:t xml:space="preserve"> </w:t>
            </w:r>
            <w:r w:rsidR="00E57B76">
              <w:rPr>
                <w:rStyle w:val="A4"/>
              </w:rPr>
              <w:t xml:space="preserve">pharmacy </w:t>
            </w:r>
            <w:r w:rsidR="001D19DD" w:rsidRPr="001B2CAA">
              <w:rPr>
                <w:rStyle w:val="A4"/>
              </w:rPr>
              <w:t>dispensing records across different pharmaci</w:t>
            </w:r>
            <w:r w:rsidR="001F47B4">
              <w:rPr>
                <w:rStyle w:val="A4"/>
              </w:rPr>
              <w:t>es</w:t>
            </w:r>
            <w:r w:rsidR="00770A9D">
              <w:rPr>
                <w:rStyle w:val="A4"/>
              </w:rPr>
              <w:t xml:space="preserve">; </w:t>
            </w:r>
            <w:r w:rsidR="001D19DD" w:rsidRPr="001B2CAA">
              <w:rPr>
                <w:rStyle w:val="A4"/>
              </w:rPr>
              <w:t>cover</w:t>
            </w:r>
            <w:r w:rsidR="00770A9D">
              <w:rPr>
                <w:rStyle w:val="A4"/>
              </w:rPr>
              <w:t>ing</w:t>
            </w:r>
            <w:r w:rsidR="001D19DD" w:rsidRPr="001B2CAA">
              <w:rPr>
                <w:rStyle w:val="A4"/>
              </w:rPr>
              <w:t xml:space="preserve"> 80% of pharmacies nationally)</w:t>
            </w:r>
            <w:r w:rsidR="00FE0400">
              <w:rPr>
                <w:rStyle w:val="A4"/>
              </w:rPr>
              <w:t xml:space="preserve"> </w:t>
            </w:r>
            <w:r w:rsidR="00FE0400" w:rsidRPr="001B2CAA">
              <w:rPr>
                <w:rStyle w:val="A4"/>
              </w:rPr>
              <w:t>was undertaken</w:t>
            </w:r>
            <w:r w:rsidR="001D19DD" w:rsidRPr="001B2CAA">
              <w:rPr>
                <w:rStyle w:val="A4"/>
              </w:rPr>
              <w:t xml:space="preserve">. </w:t>
            </w:r>
            <w:r w:rsidR="001B2CAA" w:rsidRPr="001B2CAA">
              <w:rPr>
                <w:rStyle w:val="A4"/>
              </w:rPr>
              <w:t xml:space="preserve">Inclusion criteria </w:t>
            </w:r>
            <w:r w:rsidR="00FE0400">
              <w:rPr>
                <w:rStyle w:val="A4"/>
              </w:rPr>
              <w:t xml:space="preserve">for the dataset </w:t>
            </w:r>
            <w:r w:rsidR="001B2CAA" w:rsidRPr="001B2CAA">
              <w:rPr>
                <w:rStyle w:val="A4"/>
              </w:rPr>
              <w:t xml:space="preserve">was </w:t>
            </w:r>
            <w:r w:rsidR="001B2CAA" w:rsidRPr="001B2CAA">
              <w:rPr>
                <w:color w:val="000000"/>
                <w:sz w:val="22"/>
                <w:szCs w:val="22"/>
                <w:lang w:val="en-GB"/>
              </w:rPr>
              <w:t>dispen</w:t>
            </w:r>
            <w:r w:rsidR="00A9293D">
              <w:rPr>
                <w:color w:val="000000"/>
                <w:sz w:val="22"/>
                <w:szCs w:val="22"/>
                <w:lang w:val="en-GB"/>
              </w:rPr>
              <w:t>s</w:t>
            </w:r>
            <w:r w:rsidR="001B2CAA" w:rsidRPr="001B2CAA">
              <w:rPr>
                <w:color w:val="000000"/>
                <w:sz w:val="22"/>
                <w:szCs w:val="22"/>
                <w:lang w:val="en-GB"/>
              </w:rPr>
              <w:t xml:space="preserve">ing </w:t>
            </w:r>
            <w:r w:rsidR="001B2CAA" w:rsidRPr="001B2CAA">
              <w:rPr>
                <w:rStyle w:val="A4"/>
              </w:rPr>
              <w:t xml:space="preserve">records </w:t>
            </w:r>
            <w:r w:rsidR="00A9293D">
              <w:rPr>
                <w:rStyle w:val="A4"/>
              </w:rPr>
              <w:t xml:space="preserve">with at </w:t>
            </w:r>
            <w:r w:rsidR="00A9293D" w:rsidRPr="001B2CAA">
              <w:rPr>
                <w:rStyle w:val="A4"/>
              </w:rPr>
              <w:t>least a</w:t>
            </w:r>
            <w:r w:rsidR="00A9293D">
              <w:rPr>
                <w:rStyle w:val="A4"/>
              </w:rPr>
              <w:t xml:space="preserve"> medication for </w:t>
            </w:r>
            <w:r w:rsidR="00A9293D" w:rsidRPr="001B2CAA">
              <w:rPr>
                <w:rStyle w:val="A4"/>
              </w:rPr>
              <w:t>asthma</w:t>
            </w:r>
            <w:r w:rsidR="00A9293D">
              <w:rPr>
                <w:rStyle w:val="A4"/>
              </w:rPr>
              <w:t xml:space="preserve">/COPD across </w:t>
            </w:r>
            <w:r w:rsidR="00A9293D" w:rsidRPr="001B2CAA">
              <w:rPr>
                <w:rStyle w:val="A4"/>
              </w:rPr>
              <w:t xml:space="preserve">a minimum of </w:t>
            </w:r>
            <w:r w:rsidR="00A9293D" w:rsidRPr="001B2CAA">
              <w:rPr>
                <w:color w:val="000000"/>
                <w:sz w:val="22"/>
                <w:szCs w:val="22"/>
                <w:lang w:val="en-GB"/>
              </w:rPr>
              <w:t>5 years</w:t>
            </w:r>
            <w:r w:rsidR="00A9293D" w:rsidRPr="001B2CAA">
              <w:rPr>
                <w:rStyle w:val="A4"/>
              </w:rPr>
              <w:t xml:space="preserve"> </w:t>
            </w:r>
            <w:r w:rsidR="00A9293D" w:rsidRPr="00A9293D">
              <w:rPr>
                <w:rStyle w:val="A4"/>
              </w:rPr>
              <w:t>of</w:t>
            </w:r>
            <w:r w:rsidR="00D63726">
              <w:rPr>
                <w:rStyle w:val="A4"/>
              </w:rPr>
              <w:t xml:space="preserve"> the</w:t>
            </w:r>
            <w:r w:rsidR="00A9293D" w:rsidRPr="00A9293D">
              <w:rPr>
                <w:rStyle w:val="A4"/>
              </w:rPr>
              <w:t xml:space="preserve"> dispensing record</w:t>
            </w:r>
            <w:r w:rsidR="001B2CAA" w:rsidRPr="001B2CAA">
              <w:rPr>
                <w:color w:val="000000"/>
                <w:sz w:val="22"/>
                <w:szCs w:val="22"/>
                <w:lang w:val="en-GB"/>
              </w:rPr>
              <w:t xml:space="preserve">. The data extracted includes demographic, doses, </w:t>
            </w:r>
            <w:proofErr w:type="gramStart"/>
            <w:r w:rsidR="001B2CAA" w:rsidRPr="001B2CAA">
              <w:rPr>
                <w:color w:val="000000"/>
                <w:sz w:val="22"/>
                <w:szCs w:val="22"/>
                <w:lang w:val="en-GB"/>
              </w:rPr>
              <w:t>brands</w:t>
            </w:r>
            <w:proofErr w:type="gramEnd"/>
            <w:r w:rsidR="001B2CAA" w:rsidRPr="001B2CAA">
              <w:rPr>
                <w:color w:val="000000"/>
                <w:sz w:val="22"/>
                <w:szCs w:val="22"/>
                <w:lang w:val="en-GB"/>
              </w:rPr>
              <w:t xml:space="preserve"> and dates of medication dispensing. Data were analysed descriptively.</w:t>
            </w:r>
          </w:p>
          <w:p w14:paraId="16CF6C44" w14:textId="4ED1BE4E" w:rsidR="001B2CAA" w:rsidRPr="00A82581" w:rsidRDefault="001564A4" w:rsidP="000D650A">
            <w:pPr>
              <w:pStyle w:val="Pa12"/>
              <w:jc w:val="both"/>
              <w:rPr>
                <w:rStyle w:val="A4"/>
              </w:rPr>
            </w:pPr>
            <w:r w:rsidRPr="001B2CAA">
              <w:rPr>
                <w:rStyle w:val="A4"/>
                <w:b/>
                <w:bCs/>
              </w:rPr>
              <w:t xml:space="preserve">Results: </w:t>
            </w:r>
            <w:r w:rsidR="001B2CAA" w:rsidRPr="001B2CAA">
              <w:rPr>
                <w:rStyle w:val="A4"/>
              </w:rPr>
              <w:t>Dispensing records from a total of 2</w:t>
            </w:r>
            <w:r w:rsidR="001D19DD">
              <w:rPr>
                <w:rStyle w:val="A4"/>
              </w:rPr>
              <w:t>6</w:t>
            </w:r>
            <w:r w:rsidR="001B2CAA" w:rsidRPr="001B2CAA">
              <w:rPr>
                <w:rStyle w:val="A4"/>
              </w:rPr>
              <w:t xml:space="preserve"> million patients was extracted</w:t>
            </w:r>
            <w:r w:rsidR="001D19DD">
              <w:rPr>
                <w:rStyle w:val="A4"/>
              </w:rPr>
              <w:t xml:space="preserve">, of which 10% </w:t>
            </w:r>
            <w:r w:rsidR="000D650A">
              <w:rPr>
                <w:rStyle w:val="A4"/>
              </w:rPr>
              <w:t>(</w:t>
            </w:r>
            <w:r w:rsidR="00DB0ECC">
              <w:rPr>
                <w:rStyle w:val="A4"/>
              </w:rPr>
              <w:t>n=</w:t>
            </w:r>
            <w:r w:rsidR="00DB0ECC" w:rsidRPr="00667FB1">
              <w:rPr>
                <w:rStyle w:val="A4"/>
              </w:rPr>
              <w:t>3,837,950</w:t>
            </w:r>
            <w:r w:rsidR="000D650A">
              <w:rPr>
                <w:rStyle w:val="A4"/>
              </w:rPr>
              <w:t xml:space="preserve">) </w:t>
            </w:r>
            <w:r w:rsidR="001D19DD">
              <w:rPr>
                <w:rStyle w:val="A4"/>
              </w:rPr>
              <w:t xml:space="preserve">were dispensed </w:t>
            </w:r>
            <w:r w:rsidR="00A9293D">
              <w:rPr>
                <w:rStyle w:val="A4"/>
              </w:rPr>
              <w:t>medication</w:t>
            </w:r>
            <w:r w:rsidR="00585BEE">
              <w:rPr>
                <w:rStyle w:val="A4"/>
              </w:rPr>
              <w:t>(s)</w:t>
            </w:r>
            <w:r w:rsidR="00A9293D">
              <w:rPr>
                <w:rStyle w:val="A4"/>
              </w:rPr>
              <w:t xml:space="preserve"> for </w:t>
            </w:r>
            <w:r w:rsidR="001D19DD" w:rsidRPr="001B2CAA">
              <w:rPr>
                <w:rStyle w:val="A4"/>
              </w:rPr>
              <w:t>asthma</w:t>
            </w:r>
            <w:r w:rsidR="00A9293D">
              <w:rPr>
                <w:rStyle w:val="A4"/>
              </w:rPr>
              <w:t>/COPD</w:t>
            </w:r>
            <w:r w:rsidR="001B2CAA" w:rsidRPr="001B2CAA">
              <w:rPr>
                <w:rStyle w:val="A4"/>
              </w:rPr>
              <w:t xml:space="preserve"> (median age </w:t>
            </w:r>
            <w:r w:rsidR="001D19DD">
              <w:rPr>
                <w:rStyle w:val="A4"/>
              </w:rPr>
              <w:t>47.5</w:t>
            </w:r>
            <w:r w:rsidR="001B2CAA" w:rsidRPr="001B2CAA">
              <w:rPr>
                <w:rStyle w:val="A4"/>
              </w:rPr>
              <w:t xml:space="preserve"> years). The data covered a dispensing period of 5-8 years </w:t>
            </w:r>
            <w:r w:rsidR="005E379E">
              <w:rPr>
                <w:rStyle w:val="A4"/>
              </w:rPr>
              <w:t>for each individual</w:t>
            </w:r>
            <w:r w:rsidR="001B2CAA" w:rsidRPr="001B2CAA">
              <w:rPr>
                <w:rStyle w:val="A4"/>
              </w:rPr>
              <w:t xml:space="preserve">, with </w:t>
            </w:r>
            <w:r w:rsidR="00585BEE">
              <w:rPr>
                <w:rStyle w:val="A4"/>
              </w:rPr>
              <w:t xml:space="preserve">an average of </w:t>
            </w:r>
            <w:r w:rsidR="001B2CAA" w:rsidRPr="001B2CAA">
              <w:rPr>
                <w:rStyle w:val="A4"/>
              </w:rPr>
              <w:t>6 pharmacies from which medication</w:t>
            </w:r>
            <w:r w:rsidR="005E379E">
              <w:rPr>
                <w:rStyle w:val="A4"/>
              </w:rPr>
              <w:t>s</w:t>
            </w:r>
            <w:r w:rsidR="001B2CAA" w:rsidRPr="001B2CAA">
              <w:rPr>
                <w:rStyle w:val="A4"/>
              </w:rPr>
              <w:t xml:space="preserve"> w</w:t>
            </w:r>
            <w:r w:rsidR="00585BEE">
              <w:rPr>
                <w:rStyle w:val="A4"/>
              </w:rPr>
              <w:t>ere</w:t>
            </w:r>
            <w:r w:rsidR="001B2CAA" w:rsidRPr="001B2CAA">
              <w:rPr>
                <w:rStyle w:val="A4"/>
              </w:rPr>
              <w:t xml:space="preserve"> dispensed</w:t>
            </w:r>
            <w:r w:rsidR="005E379E">
              <w:rPr>
                <w:rStyle w:val="A4"/>
              </w:rPr>
              <w:t>/</w:t>
            </w:r>
            <w:r w:rsidR="001B2CAA" w:rsidRPr="001B2CAA">
              <w:rPr>
                <w:rStyle w:val="A4"/>
              </w:rPr>
              <w:t>individual</w:t>
            </w:r>
            <w:r w:rsidR="000D650A">
              <w:rPr>
                <w:rStyle w:val="A4"/>
              </w:rPr>
              <w:t>.</w:t>
            </w:r>
            <w:r w:rsidR="00CB5844" w:rsidRPr="00A82581">
              <w:rPr>
                <w:rStyle w:val="A4"/>
              </w:rPr>
              <w:t xml:space="preserve"> </w:t>
            </w:r>
            <w:r w:rsidR="005E379E">
              <w:rPr>
                <w:rStyle w:val="A4"/>
              </w:rPr>
              <w:t xml:space="preserve">Seventy six percent </w:t>
            </w:r>
            <w:r w:rsidR="000D650A">
              <w:rPr>
                <w:rStyle w:val="A4"/>
              </w:rPr>
              <w:t xml:space="preserve"> </w:t>
            </w:r>
            <w:r w:rsidR="005E379E">
              <w:rPr>
                <w:rStyle w:val="A4"/>
              </w:rPr>
              <w:t>of patients</w:t>
            </w:r>
            <w:r w:rsidR="000D650A" w:rsidRPr="000E3B7A">
              <w:rPr>
                <w:rStyle w:val="A4"/>
              </w:rPr>
              <w:t xml:space="preserve"> were </w:t>
            </w:r>
            <w:r w:rsidR="004E5013">
              <w:rPr>
                <w:rStyle w:val="A4"/>
              </w:rPr>
              <w:t>dispensed</w:t>
            </w:r>
            <w:r w:rsidR="004E5013" w:rsidRPr="000E3B7A">
              <w:rPr>
                <w:rStyle w:val="A4"/>
              </w:rPr>
              <w:t xml:space="preserve"> </w:t>
            </w:r>
            <w:r w:rsidR="000D650A" w:rsidRPr="000E3B7A">
              <w:rPr>
                <w:rStyle w:val="A4"/>
              </w:rPr>
              <w:t xml:space="preserve">at least one </w:t>
            </w:r>
            <w:r w:rsidR="005E379E">
              <w:rPr>
                <w:rStyle w:val="A4"/>
              </w:rPr>
              <w:t>SABA on prescription;</w:t>
            </w:r>
            <w:r w:rsidR="000D650A">
              <w:rPr>
                <w:rStyle w:val="A4"/>
              </w:rPr>
              <w:t xml:space="preserve"> </w:t>
            </w:r>
            <w:r w:rsidR="000D650A" w:rsidRPr="000E3B7A">
              <w:rPr>
                <w:rStyle w:val="A4"/>
              </w:rPr>
              <w:t xml:space="preserve"> 35% were </w:t>
            </w:r>
            <w:r w:rsidR="004E5013">
              <w:rPr>
                <w:rStyle w:val="A4"/>
              </w:rPr>
              <w:t xml:space="preserve">dispensed </w:t>
            </w:r>
            <w:r w:rsidR="005E379E">
              <w:rPr>
                <w:rStyle w:val="A4"/>
              </w:rPr>
              <w:t>≥</w:t>
            </w:r>
            <w:r w:rsidR="000D650A" w:rsidRPr="000E3B7A">
              <w:rPr>
                <w:rStyle w:val="A4"/>
              </w:rPr>
              <w:t xml:space="preserve"> 3</w:t>
            </w:r>
            <w:r w:rsidR="005E379E">
              <w:rPr>
                <w:rStyle w:val="A4"/>
              </w:rPr>
              <w:t xml:space="preserve"> SABA/year, while </w:t>
            </w:r>
            <w:r w:rsidR="00A82581" w:rsidRPr="00A82581">
              <w:rPr>
                <w:rStyle w:val="A4"/>
              </w:rPr>
              <w:t>38%</w:t>
            </w:r>
            <w:r w:rsidR="00DF0544">
              <w:rPr>
                <w:rStyle w:val="A4"/>
              </w:rPr>
              <w:t xml:space="preserve"> </w:t>
            </w:r>
            <w:r w:rsidR="005E379E">
              <w:rPr>
                <w:rStyle w:val="A4"/>
              </w:rPr>
              <w:t>had at least one</w:t>
            </w:r>
            <w:r w:rsidR="00A82581" w:rsidRPr="00A82581">
              <w:rPr>
                <w:rStyle w:val="A4"/>
              </w:rPr>
              <w:t xml:space="preserve"> </w:t>
            </w:r>
            <w:r w:rsidR="00DF0544">
              <w:rPr>
                <w:rStyle w:val="A4"/>
              </w:rPr>
              <w:t xml:space="preserve">oral corticosteroids </w:t>
            </w:r>
            <w:r w:rsidR="005E379E">
              <w:rPr>
                <w:rStyle w:val="A4"/>
              </w:rPr>
              <w:t>(OCS) dispensed</w:t>
            </w:r>
            <w:r w:rsidR="00DF0544">
              <w:rPr>
                <w:rStyle w:val="A4"/>
              </w:rPr>
              <w:t xml:space="preserve">; </w:t>
            </w:r>
            <w:r w:rsidR="00A82581" w:rsidRPr="00A82581">
              <w:rPr>
                <w:rStyle w:val="A4"/>
              </w:rPr>
              <w:t>49</w:t>
            </w:r>
            <w:r w:rsidR="001B2CAA" w:rsidRPr="00A82581">
              <w:rPr>
                <w:rStyle w:val="A4"/>
              </w:rPr>
              <w:t>%</w:t>
            </w:r>
            <w:r w:rsidR="00A82581" w:rsidRPr="00A82581">
              <w:rPr>
                <w:rStyle w:val="A4"/>
              </w:rPr>
              <w:t xml:space="preserve"> </w:t>
            </w:r>
            <w:r w:rsidR="005E379E">
              <w:rPr>
                <w:rStyle w:val="A4"/>
              </w:rPr>
              <w:t>reaching a cumulative dose of</w:t>
            </w:r>
            <w:r w:rsidR="00A82581" w:rsidRPr="00A82581">
              <w:rPr>
                <w:rStyle w:val="A4"/>
              </w:rPr>
              <w:t xml:space="preserve"> </w:t>
            </w:r>
            <w:r w:rsidR="00DF0544">
              <w:rPr>
                <w:rStyle w:val="A4"/>
              </w:rPr>
              <w:t>&gt;</w:t>
            </w:r>
            <w:r w:rsidR="001B2CAA" w:rsidRPr="00A82581">
              <w:rPr>
                <w:rStyle w:val="A4"/>
              </w:rPr>
              <w:t xml:space="preserve">1g </w:t>
            </w:r>
            <w:r w:rsidR="00DF0544">
              <w:rPr>
                <w:rStyle w:val="A4"/>
              </w:rPr>
              <w:t xml:space="preserve">OCS </w:t>
            </w:r>
            <w:r w:rsidR="00A82581" w:rsidRPr="00A82581">
              <w:rPr>
                <w:rStyle w:val="A4"/>
              </w:rPr>
              <w:t>over the dispensing period</w:t>
            </w:r>
            <w:r w:rsidR="00DF0544">
              <w:rPr>
                <w:rStyle w:val="A4"/>
              </w:rPr>
              <w:t>.</w:t>
            </w:r>
          </w:p>
          <w:p w14:paraId="2D4FFA2D" w14:textId="697E375B" w:rsidR="001B2CAA" w:rsidRPr="00A82581" w:rsidRDefault="001564A4" w:rsidP="00A82C70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Arial" w:eastAsiaTheme="minorHAnsi" w:hAnsi="Arial" w:cs="Arial"/>
                <w:i/>
                <w:iCs/>
                <w:color w:val="auto"/>
                <w:sz w:val="20"/>
                <w:szCs w:val="20"/>
              </w:rPr>
            </w:pPr>
            <w:r w:rsidRPr="00A82581">
              <w:rPr>
                <w:rStyle w:val="A4"/>
                <w:rFonts w:ascii="Arial" w:hAnsi="Arial" w:cs="Arial"/>
                <w:b/>
                <w:bCs/>
              </w:rPr>
              <w:t>Conclusion:</w:t>
            </w:r>
            <w:r w:rsidR="00E86357" w:rsidRPr="00A82581">
              <w:rPr>
                <w:rStyle w:val="A4"/>
                <w:rFonts w:ascii="Arial" w:hAnsi="Arial" w:cs="Arial"/>
                <w:b/>
                <w:bCs/>
              </w:rPr>
              <w:t xml:space="preserve"> </w:t>
            </w:r>
            <w:r w:rsidR="00820364" w:rsidRPr="00A82581">
              <w:rPr>
                <w:rFonts w:ascii="Arial" w:eastAsiaTheme="minorHAnsi" w:hAnsi="Arial" w:cs="Arial"/>
                <w:sz w:val="22"/>
                <w:szCs w:val="22"/>
              </w:rPr>
              <w:t xml:space="preserve">This is the first population-based study </w:t>
            </w:r>
            <w:r w:rsidR="00A82C70">
              <w:rPr>
                <w:rFonts w:ascii="Arial" w:eastAsiaTheme="minorHAnsi" w:hAnsi="Arial" w:cs="Arial"/>
                <w:sz w:val="22"/>
                <w:szCs w:val="22"/>
              </w:rPr>
              <w:t>that utilised</w:t>
            </w:r>
            <w:r w:rsidR="00520C78" w:rsidRPr="00A82581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520C78" w:rsidRPr="00A82581">
              <w:rPr>
                <w:rStyle w:val="A4"/>
                <w:rFonts w:ascii="Arial" w:hAnsi="Arial" w:cs="Arial"/>
              </w:rPr>
              <w:t>longitudinal data in pharmacy dispensing records</w:t>
            </w:r>
            <w:r w:rsidR="00820364" w:rsidRPr="00A82581">
              <w:rPr>
                <w:rFonts w:ascii="Arial" w:eastAsiaTheme="minorHAnsi" w:hAnsi="Arial" w:cs="Arial"/>
                <w:sz w:val="22"/>
                <w:szCs w:val="22"/>
              </w:rPr>
              <w:t xml:space="preserve"> to </w:t>
            </w:r>
            <w:r w:rsidR="005E379E">
              <w:rPr>
                <w:rFonts w:ascii="Arial" w:eastAsiaTheme="minorHAnsi" w:hAnsi="Arial" w:cs="Arial"/>
                <w:sz w:val="22"/>
                <w:szCs w:val="22"/>
              </w:rPr>
              <w:t xml:space="preserve">explore the potential to </w:t>
            </w:r>
            <w:r w:rsidR="00820364" w:rsidRPr="00A82581">
              <w:rPr>
                <w:rFonts w:ascii="Arial" w:eastAsiaTheme="minorHAnsi" w:hAnsi="Arial" w:cs="Arial"/>
                <w:sz w:val="22"/>
                <w:szCs w:val="22"/>
              </w:rPr>
              <w:t xml:space="preserve">elicit </w:t>
            </w:r>
            <w:r w:rsidR="005E379E">
              <w:rPr>
                <w:rFonts w:ascii="Arial" w:eastAsiaTheme="minorHAnsi" w:hAnsi="Arial" w:cs="Arial"/>
                <w:sz w:val="22"/>
                <w:szCs w:val="22"/>
              </w:rPr>
              <w:t>high risk medication dispensing</w:t>
            </w:r>
            <w:r w:rsidR="001B2CAA" w:rsidRPr="00A82581">
              <w:rPr>
                <w:rStyle w:val="A4"/>
                <w:rFonts w:ascii="Arial" w:hAnsi="Arial" w:cs="Arial"/>
              </w:rPr>
              <w:t>.</w:t>
            </w:r>
            <w:r w:rsidR="00F90971">
              <w:rPr>
                <w:rStyle w:val="A4"/>
                <w:rFonts w:ascii="Arial" w:hAnsi="Arial" w:cs="Arial"/>
              </w:rPr>
              <w:t xml:space="preserve"> </w:t>
            </w:r>
            <w:r w:rsidR="00C940DA" w:rsidRPr="00A82581">
              <w:rPr>
                <w:rStyle w:val="A4"/>
                <w:rFonts w:ascii="Arial" w:hAnsi="Arial" w:cs="Arial"/>
              </w:rPr>
              <w:t xml:space="preserve">An </w:t>
            </w:r>
            <w:r w:rsidR="001B2CAA" w:rsidRPr="00A82581">
              <w:rPr>
                <w:rStyle w:val="A4"/>
                <w:rFonts w:ascii="Arial" w:hAnsi="Arial" w:cs="Arial"/>
              </w:rPr>
              <w:t xml:space="preserve">algorithm within the </w:t>
            </w:r>
            <w:r w:rsidR="001D19DD" w:rsidRPr="00A82581">
              <w:rPr>
                <w:rStyle w:val="A4"/>
                <w:rFonts w:ascii="Arial" w:hAnsi="Arial" w:cs="Arial"/>
              </w:rPr>
              <w:t xml:space="preserve">pharmacy </w:t>
            </w:r>
            <w:r w:rsidR="001B2CAA" w:rsidRPr="00A82581">
              <w:rPr>
                <w:rStyle w:val="A4"/>
                <w:rFonts w:ascii="Arial" w:hAnsi="Arial" w:cs="Arial"/>
              </w:rPr>
              <w:t>dispen</w:t>
            </w:r>
            <w:r w:rsidR="001D19DD" w:rsidRPr="00A82581">
              <w:rPr>
                <w:rStyle w:val="A4"/>
                <w:rFonts w:ascii="Arial" w:hAnsi="Arial" w:cs="Arial"/>
              </w:rPr>
              <w:t>s</w:t>
            </w:r>
            <w:r w:rsidR="001B2CAA" w:rsidRPr="00A82581">
              <w:rPr>
                <w:rStyle w:val="A4"/>
                <w:rFonts w:ascii="Arial" w:hAnsi="Arial" w:cs="Arial"/>
              </w:rPr>
              <w:t xml:space="preserve">ing system </w:t>
            </w:r>
            <w:r w:rsidR="00520C78">
              <w:rPr>
                <w:rStyle w:val="A4"/>
                <w:rFonts w:ascii="Arial" w:hAnsi="Arial" w:cs="Arial"/>
              </w:rPr>
              <w:t>should be</w:t>
            </w:r>
            <w:r w:rsidR="001B2CAA" w:rsidRPr="00A82581">
              <w:rPr>
                <w:rStyle w:val="A4"/>
                <w:rFonts w:ascii="Arial" w:hAnsi="Arial" w:cs="Arial"/>
              </w:rPr>
              <w:t xml:space="preserve"> developed t</w:t>
            </w:r>
            <w:r w:rsidR="003314B5">
              <w:rPr>
                <w:rStyle w:val="A4"/>
                <w:rFonts w:ascii="Arial" w:hAnsi="Arial" w:cs="Arial"/>
              </w:rPr>
              <w:t>o</w:t>
            </w:r>
            <w:r w:rsidR="00D64FC4">
              <w:rPr>
                <w:rStyle w:val="A4"/>
                <w:rFonts w:ascii="Arial" w:hAnsi="Arial" w:cs="Arial"/>
              </w:rPr>
              <w:t xml:space="preserve"> assist pharmacists in </w:t>
            </w:r>
            <w:r w:rsidR="001B2CAA" w:rsidRPr="00A82581">
              <w:rPr>
                <w:rStyle w:val="A4"/>
                <w:rFonts w:ascii="Arial" w:hAnsi="Arial" w:cs="Arial"/>
              </w:rPr>
              <w:t>identify</w:t>
            </w:r>
            <w:r w:rsidR="00D64FC4">
              <w:rPr>
                <w:rStyle w:val="A4"/>
                <w:rFonts w:ascii="Arial" w:hAnsi="Arial" w:cs="Arial"/>
              </w:rPr>
              <w:t>ing</w:t>
            </w:r>
            <w:r w:rsidR="001B2CAA" w:rsidRPr="00A82581">
              <w:rPr>
                <w:rStyle w:val="A4"/>
                <w:rFonts w:ascii="Arial" w:hAnsi="Arial" w:cs="Arial"/>
              </w:rPr>
              <w:t xml:space="preserve"> high risk </w:t>
            </w:r>
            <w:proofErr w:type="gramStart"/>
            <w:r w:rsidR="001B2CAA" w:rsidRPr="00A82581">
              <w:rPr>
                <w:rStyle w:val="A4"/>
                <w:rFonts w:ascii="Arial" w:hAnsi="Arial" w:cs="Arial"/>
              </w:rPr>
              <w:t xml:space="preserve">patients </w:t>
            </w:r>
            <w:r w:rsidR="00520C78">
              <w:rPr>
                <w:rStyle w:val="A4"/>
                <w:rFonts w:ascii="Arial" w:hAnsi="Arial" w:cs="Arial"/>
              </w:rPr>
              <w:t xml:space="preserve"> in</w:t>
            </w:r>
            <w:proofErr w:type="gramEnd"/>
            <w:r w:rsidR="00520C78">
              <w:rPr>
                <w:rStyle w:val="A4"/>
                <w:rFonts w:ascii="Arial" w:hAnsi="Arial" w:cs="Arial"/>
              </w:rPr>
              <w:t xml:space="preserve"> real time</w:t>
            </w:r>
            <w:r w:rsidR="00D64FC4">
              <w:rPr>
                <w:rStyle w:val="A4"/>
                <w:rFonts w:ascii="Arial" w:hAnsi="Arial" w:cs="Arial"/>
              </w:rPr>
              <w:t>.</w:t>
            </w:r>
          </w:p>
          <w:p w14:paraId="7F8381F0" w14:textId="645C2DB4" w:rsidR="001564A4" w:rsidRPr="001B2CAA" w:rsidRDefault="001564A4" w:rsidP="000A28E2">
            <w:pPr>
              <w:pStyle w:val="Pa12"/>
              <w:rPr>
                <w:b/>
                <w:bCs/>
                <w:color w:val="000000"/>
                <w:sz w:val="22"/>
                <w:szCs w:val="22"/>
              </w:rPr>
            </w:pPr>
            <w:r w:rsidRPr="00A82581">
              <w:rPr>
                <w:rStyle w:val="A4"/>
                <w:b/>
                <w:bCs/>
              </w:rPr>
              <w:t xml:space="preserve">Grant Support: </w:t>
            </w:r>
            <w:r w:rsidR="001B2CAA" w:rsidRPr="00A82581">
              <w:rPr>
                <w:sz w:val="22"/>
                <w:szCs w:val="22"/>
              </w:rPr>
              <w:t>Investigator Sponsored Study, AstraZeneca Australia Pty Ltd.</w:t>
            </w:r>
            <w:r w:rsidRPr="00A82581">
              <w:rPr>
                <w:sz w:val="22"/>
                <w:szCs w:val="22"/>
              </w:rPr>
              <w:br/>
            </w:r>
            <w:r w:rsidRPr="001B2CAA">
              <w:rPr>
                <w:sz w:val="22"/>
                <w:szCs w:val="22"/>
              </w:rPr>
              <w:br/>
            </w:r>
            <w:r w:rsidRPr="001B2CAA">
              <w:rPr>
                <w:sz w:val="22"/>
                <w:szCs w:val="22"/>
              </w:rPr>
              <w:br/>
            </w:r>
            <w:r w:rsidRPr="001B2CAA">
              <w:rPr>
                <w:sz w:val="22"/>
                <w:szCs w:val="22"/>
              </w:rPr>
              <w:br/>
            </w:r>
            <w:r w:rsidRPr="001B2CAA">
              <w:rPr>
                <w:sz w:val="22"/>
                <w:szCs w:val="22"/>
              </w:rPr>
              <w:br/>
            </w:r>
            <w:r w:rsidRPr="001B2CAA">
              <w:rPr>
                <w:sz w:val="22"/>
                <w:szCs w:val="22"/>
              </w:rPr>
              <w:br/>
            </w:r>
            <w:r w:rsidRPr="001B2CAA">
              <w:rPr>
                <w:sz w:val="22"/>
                <w:szCs w:val="22"/>
              </w:rPr>
              <w:br/>
            </w:r>
          </w:p>
          <w:p w14:paraId="731CD908" w14:textId="77777777" w:rsidR="001564A4" w:rsidRPr="001B2CAA" w:rsidRDefault="001564A4" w:rsidP="000A28E2">
            <w:pPr>
              <w:pStyle w:val="Default"/>
              <w:rPr>
                <w:sz w:val="22"/>
                <w:szCs w:val="22"/>
              </w:rPr>
            </w:pPr>
          </w:p>
          <w:p w14:paraId="34BF0A0F" w14:textId="77777777" w:rsidR="001564A4" w:rsidRPr="001B2CAA" w:rsidRDefault="001564A4" w:rsidP="000A28E2">
            <w:pPr>
              <w:pStyle w:val="Default"/>
              <w:rPr>
                <w:sz w:val="22"/>
                <w:szCs w:val="22"/>
              </w:rPr>
            </w:pPr>
          </w:p>
          <w:p w14:paraId="1FF1A88F" w14:textId="77777777" w:rsidR="001564A4" w:rsidRPr="001B2CAA" w:rsidRDefault="001564A4" w:rsidP="000A28E2">
            <w:pPr>
              <w:pStyle w:val="Pa12"/>
              <w:rPr>
                <w:rStyle w:val="A4"/>
                <w:bCs/>
              </w:rPr>
            </w:pPr>
            <w:r w:rsidRPr="001B2CAA">
              <w:rPr>
                <w:rStyle w:val="A4"/>
                <w:bCs/>
              </w:rPr>
              <w:br/>
            </w:r>
            <w:r w:rsidRPr="001B2CAA">
              <w:rPr>
                <w:rStyle w:val="A4"/>
                <w:bCs/>
              </w:rPr>
              <w:br/>
            </w:r>
            <w:r w:rsidRPr="001B2CAA">
              <w:rPr>
                <w:rStyle w:val="A4"/>
                <w:bCs/>
              </w:rPr>
              <w:br/>
            </w:r>
            <w:r w:rsidRPr="001B2CAA">
              <w:rPr>
                <w:rStyle w:val="A4"/>
                <w:bCs/>
              </w:rPr>
              <w:br/>
            </w:r>
            <w:r w:rsidRPr="001B2CAA">
              <w:rPr>
                <w:rStyle w:val="A4"/>
                <w:bCs/>
              </w:rPr>
              <w:br/>
            </w:r>
            <w:r w:rsidRPr="001B2CAA">
              <w:rPr>
                <w:rStyle w:val="A4"/>
                <w:bCs/>
              </w:rPr>
              <w:br/>
            </w:r>
            <w:r w:rsidRPr="001B2CAA">
              <w:rPr>
                <w:rStyle w:val="A4"/>
                <w:bCs/>
              </w:rPr>
              <w:br/>
            </w:r>
            <w:r w:rsidRPr="001B2CAA">
              <w:rPr>
                <w:rStyle w:val="A4"/>
                <w:bCs/>
              </w:rPr>
              <w:br/>
            </w:r>
            <w:r w:rsidRPr="001B2CAA">
              <w:rPr>
                <w:rStyle w:val="A4"/>
                <w:bCs/>
              </w:rPr>
              <w:br/>
            </w:r>
            <w:r w:rsidRPr="001B2CAA">
              <w:rPr>
                <w:rStyle w:val="A4"/>
                <w:bCs/>
              </w:rPr>
              <w:br/>
            </w:r>
            <w:r w:rsidRPr="001B2CAA">
              <w:rPr>
                <w:rStyle w:val="A4"/>
                <w:bCs/>
              </w:rPr>
              <w:br/>
            </w:r>
          </w:p>
          <w:p w14:paraId="14DC37E4" w14:textId="77777777" w:rsidR="001564A4" w:rsidRPr="001B2CA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1B2CA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1B2CAA">
              <w:rPr>
                <w:sz w:val="22"/>
                <w:szCs w:val="22"/>
                <w:lang w:val="en-US" w:eastAsia="en-GB"/>
              </w:rPr>
              <w:br/>
            </w:r>
            <w:r w:rsidRPr="001B2CAA">
              <w:rPr>
                <w:sz w:val="22"/>
                <w:szCs w:val="22"/>
                <w:lang w:val="en-US" w:eastAsia="en-GB"/>
              </w:rPr>
              <w:br/>
            </w:r>
            <w:r w:rsidRPr="001B2CAA">
              <w:rPr>
                <w:sz w:val="22"/>
                <w:szCs w:val="22"/>
                <w:lang w:val="en-US" w:eastAsia="en-GB"/>
              </w:rPr>
              <w:br/>
            </w:r>
            <w:r w:rsidRPr="001B2CAA">
              <w:rPr>
                <w:sz w:val="22"/>
                <w:szCs w:val="22"/>
                <w:lang w:val="en-US" w:eastAsia="en-GB"/>
              </w:rPr>
              <w:br/>
            </w:r>
            <w:r w:rsidRPr="001B2CAA">
              <w:rPr>
                <w:sz w:val="22"/>
                <w:szCs w:val="22"/>
                <w:lang w:val="en-US" w:eastAsia="en-GB"/>
              </w:rPr>
              <w:br/>
            </w:r>
            <w:r w:rsidRPr="001B2CAA">
              <w:rPr>
                <w:sz w:val="22"/>
                <w:szCs w:val="22"/>
                <w:lang w:val="en-US" w:eastAsia="en-GB"/>
              </w:rPr>
              <w:br/>
            </w:r>
            <w:r w:rsidRPr="001B2CAA">
              <w:rPr>
                <w:sz w:val="22"/>
                <w:szCs w:val="22"/>
                <w:lang w:val="en-US" w:eastAsia="en-GB"/>
              </w:rPr>
              <w:br/>
            </w:r>
            <w:r w:rsidRPr="001B2CAA">
              <w:rPr>
                <w:sz w:val="22"/>
                <w:szCs w:val="22"/>
                <w:lang w:val="en-US" w:eastAsia="en-GB"/>
              </w:rPr>
              <w:br/>
            </w:r>
            <w:r w:rsidRPr="001B2CAA">
              <w:rPr>
                <w:sz w:val="22"/>
                <w:szCs w:val="22"/>
                <w:lang w:val="en-US" w:eastAsia="en-GB"/>
              </w:rPr>
              <w:br/>
            </w:r>
            <w:r w:rsidRPr="001B2CAA">
              <w:rPr>
                <w:sz w:val="22"/>
                <w:szCs w:val="22"/>
                <w:lang w:val="en-US" w:eastAsia="en-GB"/>
              </w:rPr>
              <w:br/>
            </w:r>
            <w:r w:rsidRPr="001B2CAA">
              <w:rPr>
                <w:sz w:val="22"/>
                <w:szCs w:val="22"/>
                <w:lang w:val="en-US" w:eastAsia="en-GB"/>
              </w:rPr>
              <w:br/>
            </w:r>
            <w:r w:rsidRPr="001B2CAA">
              <w:rPr>
                <w:sz w:val="22"/>
                <w:szCs w:val="22"/>
                <w:lang w:val="en-US" w:eastAsia="en-GB"/>
              </w:rPr>
              <w:br/>
            </w:r>
            <w:r w:rsidRPr="001B2CAA">
              <w:rPr>
                <w:sz w:val="22"/>
                <w:szCs w:val="22"/>
                <w:lang w:val="en-US" w:eastAsia="en-GB"/>
              </w:rPr>
              <w:br/>
            </w:r>
            <w:r w:rsidRPr="001B2CAA">
              <w:rPr>
                <w:sz w:val="22"/>
                <w:szCs w:val="22"/>
                <w:lang w:val="en-US" w:eastAsia="en-GB"/>
              </w:rPr>
              <w:br/>
            </w:r>
            <w:r w:rsidRPr="001B2CAA">
              <w:rPr>
                <w:sz w:val="22"/>
                <w:szCs w:val="22"/>
                <w:lang w:val="en-US" w:eastAsia="en-GB"/>
              </w:rPr>
              <w:br/>
            </w:r>
            <w:r w:rsidRPr="001B2CAA">
              <w:rPr>
                <w:sz w:val="22"/>
                <w:szCs w:val="22"/>
                <w:lang w:val="en-US" w:eastAsia="en-GB"/>
              </w:rPr>
              <w:br/>
            </w:r>
            <w:r w:rsidRPr="001B2CAA">
              <w:rPr>
                <w:sz w:val="22"/>
                <w:szCs w:val="22"/>
                <w:lang w:val="en-US" w:eastAsia="en-GB"/>
              </w:rPr>
              <w:br/>
            </w:r>
            <w:r w:rsidRPr="001B2CAA">
              <w:rPr>
                <w:sz w:val="22"/>
                <w:szCs w:val="22"/>
                <w:lang w:val="en-US" w:eastAsia="en-GB"/>
              </w:rPr>
              <w:br/>
            </w:r>
            <w:r w:rsidRPr="001B2CAA">
              <w:rPr>
                <w:sz w:val="22"/>
                <w:szCs w:val="22"/>
                <w:lang w:val="en-US" w:eastAsia="en-GB"/>
              </w:rPr>
              <w:br/>
            </w:r>
            <w:r w:rsidRPr="001B2CAA">
              <w:rPr>
                <w:sz w:val="22"/>
                <w:szCs w:val="22"/>
                <w:lang w:val="en-US" w:eastAsia="en-GB"/>
              </w:rPr>
              <w:br/>
            </w:r>
            <w:r w:rsidRPr="001B2CAA">
              <w:rPr>
                <w:sz w:val="22"/>
                <w:szCs w:val="22"/>
                <w:lang w:val="en-US" w:eastAsia="en-GB"/>
              </w:rPr>
              <w:br/>
            </w:r>
            <w:r w:rsidRPr="001B2CAA">
              <w:rPr>
                <w:sz w:val="22"/>
                <w:szCs w:val="22"/>
                <w:lang w:val="en-US" w:eastAsia="en-GB"/>
              </w:rPr>
              <w:br/>
            </w:r>
            <w:r w:rsidRPr="001B2CAA">
              <w:rPr>
                <w:sz w:val="22"/>
                <w:szCs w:val="22"/>
                <w:lang w:val="en-US" w:eastAsia="en-GB"/>
              </w:rPr>
              <w:br/>
            </w:r>
            <w:r w:rsidRPr="001B2CAA">
              <w:rPr>
                <w:sz w:val="22"/>
                <w:szCs w:val="22"/>
                <w:lang w:val="en-US" w:eastAsia="en-GB"/>
              </w:rPr>
              <w:br/>
            </w:r>
            <w:r w:rsidRPr="001B2CAA">
              <w:rPr>
                <w:sz w:val="22"/>
                <w:szCs w:val="22"/>
                <w:lang w:val="en-US" w:eastAsia="en-GB"/>
              </w:rPr>
              <w:br/>
            </w:r>
            <w:r w:rsidRPr="001B2CAA">
              <w:rPr>
                <w:sz w:val="22"/>
                <w:szCs w:val="22"/>
                <w:lang w:val="en-US" w:eastAsia="en-GB"/>
              </w:rPr>
              <w:br/>
            </w:r>
            <w:r w:rsidRPr="001B2CAA">
              <w:rPr>
                <w:sz w:val="22"/>
                <w:szCs w:val="22"/>
                <w:lang w:val="en-US" w:eastAsia="en-GB"/>
              </w:rPr>
              <w:br/>
            </w:r>
            <w:r w:rsidRPr="001B2CAA">
              <w:rPr>
                <w:sz w:val="22"/>
                <w:szCs w:val="22"/>
                <w:lang w:val="en-US" w:eastAsia="en-GB"/>
              </w:rPr>
              <w:br/>
            </w:r>
            <w:r w:rsidRPr="001B2CAA">
              <w:rPr>
                <w:sz w:val="22"/>
                <w:szCs w:val="22"/>
                <w:lang w:val="en-US" w:eastAsia="en-GB"/>
              </w:rPr>
              <w:br/>
            </w:r>
            <w:r w:rsidRPr="001B2CAA">
              <w:rPr>
                <w:sz w:val="22"/>
                <w:szCs w:val="22"/>
                <w:lang w:val="en-US" w:eastAsia="en-GB"/>
              </w:rPr>
              <w:br/>
            </w:r>
            <w:r w:rsidRPr="001B2CAA">
              <w:rPr>
                <w:sz w:val="22"/>
                <w:szCs w:val="22"/>
                <w:lang w:val="en-US" w:eastAsia="en-GB"/>
              </w:rPr>
              <w:br/>
            </w:r>
            <w:r w:rsidRPr="001B2CAA">
              <w:rPr>
                <w:sz w:val="22"/>
                <w:szCs w:val="22"/>
                <w:lang w:val="en-US" w:eastAsia="en-GB"/>
              </w:rPr>
              <w:br/>
            </w:r>
            <w:r w:rsidRPr="001B2CAA">
              <w:rPr>
                <w:sz w:val="22"/>
                <w:szCs w:val="22"/>
                <w:lang w:val="en-US" w:eastAsia="en-GB"/>
              </w:rPr>
              <w:br/>
            </w:r>
            <w:r w:rsidRPr="001B2CAA">
              <w:rPr>
                <w:sz w:val="22"/>
                <w:szCs w:val="22"/>
                <w:lang w:val="en-US" w:eastAsia="en-GB"/>
              </w:rPr>
              <w:br/>
            </w:r>
            <w:r w:rsidRPr="001B2CAA">
              <w:rPr>
                <w:sz w:val="22"/>
                <w:szCs w:val="22"/>
                <w:lang w:val="en-US" w:eastAsia="en-GB"/>
              </w:rPr>
              <w:br/>
            </w:r>
            <w:r w:rsidRPr="001B2CAA">
              <w:rPr>
                <w:sz w:val="22"/>
                <w:szCs w:val="22"/>
                <w:lang w:val="en-US" w:eastAsia="en-GB"/>
              </w:rPr>
              <w:br/>
            </w:r>
            <w:r w:rsidRPr="001B2CAA">
              <w:rPr>
                <w:sz w:val="22"/>
                <w:szCs w:val="22"/>
                <w:lang w:val="en-US" w:eastAsia="en-GB"/>
              </w:rPr>
              <w:br/>
            </w:r>
            <w:r w:rsidRPr="001B2CAA">
              <w:rPr>
                <w:sz w:val="22"/>
                <w:szCs w:val="22"/>
                <w:lang w:val="en-US" w:eastAsia="en-GB"/>
              </w:rPr>
              <w:br/>
            </w:r>
            <w:r w:rsidRPr="001B2CAA">
              <w:rPr>
                <w:sz w:val="22"/>
                <w:szCs w:val="22"/>
                <w:lang w:val="en-US" w:eastAsia="en-GB"/>
              </w:rPr>
              <w:br/>
            </w:r>
            <w:r w:rsidRPr="001B2CAA">
              <w:rPr>
                <w:sz w:val="22"/>
                <w:szCs w:val="22"/>
                <w:lang w:val="en-US" w:eastAsia="en-GB"/>
              </w:rPr>
              <w:br/>
            </w:r>
            <w:r w:rsidRPr="001B2CAA">
              <w:rPr>
                <w:sz w:val="22"/>
                <w:szCs w:val="22"/>
                <w:lang w:val="en-US" w:eastAsia="en-GB"/>
              </w:rPr>
              <w:br/>
            </w:r>
            <w:r w:rsidRPr="001B2CAA">
              <w:rPr>
                <w:sz w:val="22"/>
                <w:szCs w:val="22"/>
                <w:lang w:val="en-US" w:eastAsia="en-GB"/>
              </w:rPr>
              <w:br/>
            </w:r>
            <w:r w:rsidRPr="001B2CAA">
              <w:rPr>
                <w:sz w:val="22"/>
                <w:szCs w:val="22"/>
                <w:lang w:val="en-US" w:eastAsia="en-GB"/>
              </w:rPr>
              <w:br/>
            </w:r>
            <w:r w:rsidRPr="001B2CAA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las Grotesk Regular">
    <w:altName w:val="Calibri"/>
    <w:charset w:val="00"/>
    <w:family w:val="moder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2042D"/>
    <w:multiLevelType w:val="hybridMultilevel"/>
    <w:tmpl w:val="C6A2F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510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27E1A"/>
    <w:rsid w:val="000A26DD"/>
    <w:rsid w:val="000D650A"/>
    <w:rsid w:val="000F0E3F"/>
    <w:rsid w:val="00106742"/>
    <w:rsid w:val="00123D61"/>
    <w:rsid w:val="00153A48"/>
    <w:rsid w:val="00155B69"/>
    <w:rsid w:val="001564A4"/>
    <w:rsid w:val="001B2CAA"/>
    <w:rsid w:val="001C3858"/>
    <w:rsid w:val="001C5D28"/>
    <w:rsid w:val="001D19DD"/>
    <w:rsid w:val="001F47B4"/>
    <w:rsid w:val="00211963"/>
    <w:rsid w:val="0021738A"/>
    <w:rsid w:val="0023708A"/>
    <w:rsid w:val="002D2B70"/>
    <w:rsid w:val="002E541E"/>
    <w:rsid w:val="003314B5"/>
    <w:rsid w:val="003415FC"/>
    <w:rsid w:val="00363A1C"/>
    <w:rsid w:val="003C6B6A"/>
    <w:rsid w:val="004573E8"/>
    <w:rsid w:val="00457756"/>
    <w:rsid w:val="00495762"/>
    <w:rsid w:val="004C0596"/>
    <w:rsid w:val="004D05E1"/>
    <w:rsid w:val="004D48D3"/>
    <w:rsid w:val="004E5013"/>
    <w:rsid w:val="0051574E"/>
    <w:rsid w:val="00520C78"/>
    <w:rsid w:val="00533A86"/>
    <w:rsid w:val="00553E8C"/>
    <w:rsid w:val="00585BEE"/>
    <w:rsid w:val="00586475"/>
    <w:rsid w:val="005A0D20"/>
    <w:rsid w:val="005C4618"/>
    <w:rsid w:val="005E33A8"/>
    <w:rsid w:val="005E379E"/>
    <w:rsid w:val="005E770E"/>
    <w:rsid w:val="00610C47"/>
    <w:rsid w:val="00617CA8"/>
    <w:rsid w:val="0063792E"/>
    <w:rsid w:val="006A6124"/>
    <w:rsid w:val="007121B1"/>
    <w:rsid w:val="00770A9D"/>
    <w:rsid w:val="00793099"/>
    <w:rsid w:val="007F5C33"/>
    <w:rsid w:val="00810F8D"/>
    <w:rsid w:val="00820364"/>
    <w:rsid w:val="008469C9"/>
    <w:rsid w:val="00870532"/>
    <w:rsid w:val="008803FA"/>
    <w:rsid w:val="009374F2"/>
    <w:rsid w:val="00947BE6"/>
    <w:rsid w:val="00A82581"/>
    <w:rsid w:val="00A82C70"/>
    <w:rsid w:val="00A9293D"/>
    <w:rsid w:val="00B07556"/>
    <w:rsid w:val="00B12E32"/>
    <w:rsid w:val="00BD1D46"/>
    <w:rsid w:val="00BD4004"/>
    <w:rsid w:val="00C54943"/>
    <w:rsid w:val="00C940DA"/>
    <w:rsid w:val="00C96457"/>
    <w:rsid w:val="00CB5844"/>
    <w:rsid w:val="00CB693F"/>
    <w:rsid w:val="00CF58DB"/>
    <w:rsid w:val="00D352E5"/>
    <w:rsid w:val="00D63726"/>
    <w:rsid w:val="00D64FC4"/>
    <w:rsid w:val="00DA7EE1"/>
    <w:rsid w:val="00DB0ECC"/>
    <w:rsid w:val="00DD0DA6"/>
    <w:rsid w:val="00DD22A5"/>
    <w:rsid w:val="00DF0544"/>
    <w:rsid w:val="00E0700F"/>
    <w:rsid w:val="00E57B76"/>
    <w:rsid w:val="00E64B7C"/>
    <w:rsid w:val="00E86357"/>
    <w:rsid w:val="00EA077D"/>
    <w:rsid w:val="00EA1618"/>
    <w:rsid w:val="00EA32E6"/>
    <w:rsid w:val="00EB2DAE"/>
    <w:rsid w:val="00ED28EE"/>
    <w:rsid w:val="00F15375"/>
    <w:rsid w:val="00F736B2"/>
    <w:rsid w:val="00F831AA"/>
    <w:rsid w:val="00F85FA3"/>
    <w:rsid w:val="00F90971"/>
    <w:rsid w:val="00FC69A3"/>
    <w:rsid w:val="00FE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610C47"/>
    <w:pPr>
      <w:ind w:left="720"/>
      <w:contextualSpacing/>
    </w:pPr>
    <w:rPr>
      <w:rFonts w:asciiTheme="minorHAnsi" w:eastAsiaTheme="minorEastAsia" w:hAnsiTheme="minorHAnsi" w:cstheme="minorBidi"/>
      <w:lang w:val="en-AU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E64B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4B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4B7C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B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B7C"/>
    <w:rPr>
      <w:rFonts w:ascii="Times New Roman" w:eastAsia="Times New Roman" w:hAnsi="Times New Roman" w:cs="Times New Roman"/>
      <w:b/>
      <w:bCs/>
      <w:lang w:val="en-GB"/>
    </w:rPr>
  </w:style>
  <w:style w:type="paragraph" w:styleId="Revision">
    <w:name w:val="Revision"/>
    <w:hidden/>
    <w:uiPriority w:val="99"/>
    <w:semiHidden/>
    <w:rsid w:val="00553E8C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961898-40DD-42B0-A9FA-52244C88F073}">
  <ds:schemaRefs>
    <ds:schemaRef ds:uri="http://www.w3.org/XML/1998/namespace"/>
    <ds:schemaRef ds:uri="http://purl.org/dc/elements/1.1/"/>
    <ds:schemaRef ds:uri="http://schemas.microsoft.com/office/2006/metadata/properties"/>
    <ds:schemaRef ds:uri="cab52c9b-ab33-4221-8af9-54f8f2b86a80"/>
    <ds:schemaRef ds:uri="http://schemas.microsoft.com/office/2006/documentManagement/types"/>
    <ds:schemaRef ds:uri="http://purl.org/dc/dcmitype/"/>
    <ds:schemaRef ds:uri="http://purl.org/dc/terms/"/>
    <ds:schemaRef ds:uri="6911e96c-4cc4-42d5-8e43-f93924cf6a05"/>
    <ds:schemaRef ds:uri="http://schemas.microsoft.com/office/infopath/2007/PartnerControls"/>
    <ds:schemaRef ds:uri="http://schemas.openxmlformats.org/package/2006/metadata/core-properties"/>
    <ds:schemaRef ds:uri="9c8a2b7b-0bee-4c48-b0a6-23db8982d3bc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8199FF-9CCB-4966-8E00-4234696E4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Leah McLeod</cp:lastModifiedBy>
  <cp:revision>2</cp:revision>
  <dcterms:created xsi:type="dcterms:W3CDTF">2023-10-20T00:38:00Z</dcterms:created>
  <dcterms:modified xsi:type="dcterms:W3CDTF">2023-10-20T00:38:00Z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