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0BF9D" w14:textId="37B38EEE" w:rsidR="00E64CB5" w:rsidRPr="00A60755" w:rsidRDefault="003C2547">
      <w:pPr>
        <w:rPr>
          <w:rFonts w:ascii="Arial" w:hAnsi="Arial" w:cs="Arial"/>
          <w:b/>
          <w:bCs/>
          <w:sz w:val="22"/>
          <w:szCs w:val="22"/>
        </w:rPr>
      </w:pPr>
      <w:r w:rsidRPr="00A60755">
        <w:rPr>
          <w:rFonts w:ascii="Arial" w:hAnsi="Arial" w:cs="Arial"/>
          <w:b/>
          <w:bCs/>
          <w:sz w:val="22"/>
          <w:szCs w:val="22"/>
        </w:rPr>
        <w:t xml:space="preserve">Inferences on the nitrogen cycle: </w:t>
      </w:r>
      <w:r w:rsidR="00A63AA3" w:rsidRPr="00A60755">
        <w:rPr>
          <w:rFonts w:ascii="Arial" w:hAnsi="Arial" w:cs="Arial"/>
          <w:b/>
          <w:bCs/>
          <w:sz w:val="22"/>
          <w:szCs w:val="22"/>
        </w:rPr>
        <w:t xml:space="preserve">coupled isotopic and </w:t>
      </w:r>
      <w:r w:rsidRPr="00A60755">
        <w:rPr>
          <w:rFonts w:ascii="Arial" w:hAnsi="Arial" w:cs="Arial"/>
          <w:b/>
          <w:bCs/>
          <w:sz w:val="22"/>
          <w:szCs w:val="22"/>
        </w:rPr>
        <w:t xml:space="preserve">hyperspectral approaches to assess </w:t>
      </w:r>
      <w:r w:rsidR="00A63AA3" w:rsidRPr="00A60755">
        <w:rPr>
          <w:rFonts w:ascii="Arial" w:hAnsi="Arial" w:cs="Arial"/>
          <w:b/>
          <w:bCs/>
          <w:sz w:val="22"/>
          <w:szCs w:val="22"/>
        </w:rPr>
        <w:t xml:space="preserve">forest </w:t>
      </w:r>
      <w:r w:rsidRPr="00A60755">
        <w:rPr>
          <w:rFonts w:ascii="Arial" w:hAnsi="Arial" w:cs="Arial"/>
          <w:b/>
          <w:bCs/>
          <w:sz w:val="22"/>
          <w:szCs w:val="22"/>
        </w:rPr>
        <w:t xml:space="preserve">retention and </w:t>
      </w:r>
      <w:r w:rsidR="00A63AA3" w:rsidRPr="00A60755">
        <w:rPr>
          <w:rFonts w:ascii="Arial" w:hAnsi="Arial" w:cs="Arial"/>
          <w:b/>
          <w:bCs/>
          <w:sz w:val="22"/>
          <w:szCs w:val="22"/>
        </w:rPr>
        <w:t xml:space="preserve">responses to nitrogen </w:t>
      </w:r>
      <w:proofErr w:type="gramStart"/>
      <w:r w:rsidR="00A63AA3" w:rsidRPr="00A60755">
        <w:rPr>
          <w:rFonts w:ascii="Arial" w:hAnsi="Arial" w:cs="Arial"/>
          <w:b/>
          <w:bCs/>
          <w:sz w:val="22"/>
          <w:szCs w:val="22"/>
        </w:rPr>
        <w:t>addition</w:t>
      </w:r>
      <w:r w:rsidRPr="00A60755">
        <w:rPr>
          <w:rFonts w:ascii="Arial" w:hAnsi="Arial" w:cs="Arial"/>
          <w:b/>
          <w:bCs/>
          <w:sz w:val="22"/>
          <w:szCs w:val="22"/>
        </w:rPr>
        <w:t>s</w:t>
      </w:r>
      <w:proofErr w:type="gramEnd"/>
    </w:p>
    <w:p w14:paraId="51C5074A" w14:textId="77777777" w:rsidR="003C2547" w:rsidRPr="00A60755" w:rsidRDefault="003C2547">
      <w:pPr>
        <w:rPr>
          <w:rFonts w:ascii="Arial" w:hAnsi="Arial" w:cs="Arial"/>
          <w:sz w:val="22"/>
          <w:szCs w:val="22"/>
        </w:rPr>
      </w:pPr>
    </w:p>
    <w:p w14:paraId="3CF580AB" w14:textId="77777777" w:rsidR="004003DF" w:rsidRPr="00A60755" w:rsidRDefault="004003DF" w:rsidP="004003DF">
      <w:pPr>
        <w:rPr>
          <w:rFonts w:ascii="Arial" w:hAnsi="Arial" w:cs="Arial"/>
          <w:sz w:val="22"/>
          <w:szCs w:val="22"/>
        </w:rPr>
      </w:pPr>
    </w:p>
    <w:p w14:paraId="637218B7" w14:textId="42F1451F" w:rsidR="003C2547" w:rsidRPr="00A60755" w:rsidRDefault="003C2547" w:rsidP="004003DF">
      <w:pPr>
        <w:rPr>
          <w:rFonts w:ascii="Arial" w:hAnsi="Arial" w:cs="Arial"/>
          <w:sz w:val="22"/>
          <w:szCs w:val="22"/>
        </w:rPr>
      </w:pPr>
      <w:r w:rsidRPr="00A60755">
        <w:rPr>
          <w:rFonts w:ascii="Arial" w:hAnsi="Arial" w:cs="Arial"/>
          <w:sz w:val="22"/>
          <w:szCs w:val="22"/>
        </w:rPr>
        <w:t xml:space="preserve">Human alterations to the global nitrogen (N) cycle have </w:t>
      </w:r>
      <w:r w:rsidR="001135CD" w:rsidRPr="00A60755">
        <w:rPr>
          <w:rFonts w:ascii="Arial" w:hAnsi="Arial" w:cs="Arial"/>
          <w:sz w:val="22"/>
          <w:szCs w:val="22"/>
        </w:rPr>
        <w:t>dramatically increased both acute</w:t>
      </w:r>
      <w:r w:rsidR="004003DF" w:rsidRPr="00A60755">
        <w:rPr>
          <w:rFonts w:ascii="Arial" w:hAnsi="Arial" w:cs="Arial"/>
          <w:sz w:val="22"/>
          <w:szCs w:val="22"/>
        </w:rPr>
        <w:t xml:space="preserve"> (e.g., fertilization)</w:t>
      </w:r>
      <w:r w:rsidR="001135CD" w:rsidRPr="00A60755">
        <w:rPr>
          <w:rFonts w:ascii="Arial" w:hAnsi="Arial" w:cs="Arial"/>
          <w:sz w:val="22"/>
          <w:szCs w:val="22"/>
        </w:rPr>
        <w:t xml:space="preserve"> and chronic</w:t>
      </w:r>
      <w:r w:rsidR="004003DF" w:rsidRPr="00A60755">
        <w:rPr>
          <w:rFonts w:ascii="Arial" w:hAnsi="Arial" w:cs="Arial"/>
          <w:sz w:val="22"/>
          <w:szCs w:val="22"/>
        </w:rPr>
        <w:t xml:space="preserve"> (e.g., atmospheric deposition)</w:t>
      </w:r>
      <w:r w:rsidRPr="00A60755">
        <w:rPr>
          <w:rFonts w:ascii="Arial" w:hAnsi="Arial" w:cs="Arial"/>
          <w:sz w:val="22"/>
          <w:szCs w:val="22"/>
        </w:rPr>
        <w:t xml:space="preserve"> rate</w:t>
      </w:r>
      <w:r w:rsidR="001135CD" w:rsidRPr="00A60755">
        <w:rPr>
          <w:rFonts w:ascii="Arial" w:hAnsi="Arial" w:cs="Arial"/>
          <w:sz w:val="22"/>
          <w:szCs w:val="22"/>
        </w:rPr>
        <w:t>s</w:t>
      </w:r>
      <w:r w:rsidRPr="00A60755">
        <w:rPr>
          <w:rFonts w:ascii="Arial" w:hAnsi="Arial" w:cs="Arial"/>
          <w:sz w:val="22"/>
          <w:szCs w:val="22"/>
        </w:rPr>
        <w:t xml:space="preserve"> of N input into terrestrial environments. </w:t>
      </w:r>
      <w:r w:rsidR="004003DF" w:rsidRPr="00A60755">
        <w:rPr>
          <w:rFonts w:ascii="Arial" w:hAnsi="Arial" w:cs="Arial"/>
          <w:sz w:val="22"/>
          <w:szCs w:val="22"/>
        </w:rPr>
        <w:t>Forest e</w:t>
      </w:r>
      <w:r w:rsidR="001135CD" w:rsidRPr="00A60755">
        <w:rPr>
          <w:rFonts w:ascii="Arial" w:hAnsi="Arial" w:cs="Arial"/>
          <w:sz w:val="22"/>
          <w:szCs w:val="22"/>
        </w:rPr>
        <w:t xml:space="preserve">cosystem retention of this added N has important implications on terrestrial productivity and adjacent aquatic ecosystem health.  Traditionally, </w:t>
      </w:r>
      <w:r w:rsidR="004003DF" w:rsidRPr="00A60755">
        <w:rPr>
          <w:rFonts w:ascii="Arial" w:hAnsi="Arial" w:cs="Arial"/>
          <w:sz w:val="22"/>
          <w:szCs w:val="22"/>
        </w:rPr>
        <w:t xml:space="preserve">site-specific, labor-intensive, </w:t>
      </w:r>
      <w:r w:rsidR="001135CD" w:rsidRPr="00A60755">
        <w:rPr>
          <w:rFonts w:ascii="Arial" w:hAnsi="Arial" w:cs="Arial"/>
          <w:sz w:val="22"/>
          <w:szCs w:val="22"/>
        </w:rPr>
        <w:t>mass balance approaches have been required to quantify ecosystem N retention or loss, but recent evidence suggest the potential use of N stable isotope signatures (δ</w:t>
      </w:r>
      <w:r w:rsidR="001135CD" w:rsidRPr="00A60755">
        <w:rPr>
          <w:rFonts w:ascii="Arial" w:hAnsi="Arial" w:cs="Arial"/>
          <w:sz w:val="22"/>
          <w:szCs w:val="22"/>
          <w:vertAlign w:val="superscript"/>
        </w:rPr>
        <w:t>15</w:t>
      </w:r>
      <w:r w:rsidR="001135CD" w:rsidRPr="00A60755">
        <w:rPr>
          <w:rFonts w:ascii="Arial" w:hAnsi="Arial" w:cs="Arial"/>
          <w:sz w:val="22"/>
          <w:szCs w:val="22"/>
        </w:rPr>
        <w:t xml:space="preserve">N) as integrative indicators of the degree of openness or closedness of the </w:t>
      </w:r>
      <w:r w:rsidR="004003DF" w:rsidRPr="00A60755">
        <w:rPr>
          <w:rFonts w:ascii="Arial" w:hAnsi="Arial" w:cs="Arial"/>
          <w:sz w:val="22"/>
          <w:szCs w:val="22"/>
        </w:rPr>
        <w:t>N</w:t>
      </w:r>
      <w:r w:rsidR="001135CD" w:rsidRPr="00A60755">
        <w:rPr>
          <w:rFonts w:ascii="Arial" w:hAnsi="Arial" w:cs="Arial"/>
          <w:sz w:val="22"/>
          <w:szCs w:val="22"/>
        </w:rPr>
        <w:t xml:space="preserve"> cycle in forests.  Here we discuss the potential of using hyperspectral remote sensing to assess foliar δ</w:t>
      </w:r>
      <w:r w:rsidR="001135CD" w:rsidRPr="00A60755">
        <w:rPr>
          <w:rFonts w:ascii="Arial" w:hAnsi="Arial" w:cs="Arial"/>
          <w:sz w:val="22"/>
          <w:szCs w:val="22"/>
          <w:vertAlign w:val="superscript"/>
        </w:rPr>
        <w:t>15</w:t>
      </w:r>
      <w:r w:rsidR="001135CD" w:rsidRPr="00A60755">
        <w:rPr>
          <w:rFonts w:ascii="Arial" w:hAnsi="Arial" w:cs="Arial"/>
          <w:sz w:val="22"/>
          <w:szCs w:val="22"/>
        </w:rPr>
        <w:t>N as a static assessment of</w:t>
      </w:r>
      <w:r w:rsidR="004003DF" w:rsidRPr="00A60755">
        <w:rPr>
          <w:rFonts w:ascii="Arial" w:hAnsi="Arial" w:cs="Arial"/>
          <w:sz w:val="22"/>
          <w:szCs w:val="22"/>
        </w:rPr>
        <w:t xml:space="preserve"> historical N cycling rates and using those inferences to predict future forest ecosystem responses to added N across the managed forests of the southeastern (loblolly pine) and Pacific Northwest (Douglas-fir) Unites States as well as New Zealand (radiata pine).</w:t>
      </w:r>
    </w:p>
    <w:sectPr w:rsidR="003C2547" w:rsidRPr="00A60755" w:rsidSect="00784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47"/>
    <w:rsid w:val="001135CD"/>
    <w:rsid w:val="003C2547"/>
    <w:rsid w:val="004003DF"/>
    <w:rsid w:val="00784A99"/>
    <w:rsid w:val="009B6BE6"/>
    <w:rsid w:val="00A60755"/>
    <w:rsid w:val="00A63AA3"/>
    <w:rsid w:val="00A80DA9"/>
    <w:rsid w:val="00AB2AA5"/>
    <w:rsid w:val="00CE208E"/>
    <w:rsid w:val="00D74035"/>
    <w:rsid w:val="00E32522"/>
    <w:rsid w:val="00E6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D159"/>
  <w15:chartTrackingRefBased/>
  <w15:docId w15:val="{B47B0746-E7A9-4344-AA57-F1DCD44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5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5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5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5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5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5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5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5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5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5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5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5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5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5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5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5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5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5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5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2547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A7018E-BC44-4CD8-AB7C-BD7054876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108EE-B9DE-40E9-8DFF-98B109CD2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1F78E-22D0-4B57-8627-7D0B4D1219F4}">
  <ds:schemaRefs>
    <ds:schemaRef ds:uri="http://schemas.microsoft.com/office/2006/documentManagement/types"/>
    <ds:schemaRef ds:uri="http://purl.org/dc/terms/"/>
    <ds:schemaRef ds:uri="cab52c9b-ab33-4221-8af9-54f8f2b86a80"/>
    <ds:schemaRef ds:uri="9c8a2b7b-0bee-4c48-b0a6-23db8982d3bc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6911e96c-4cc4-42d5-8e43-f93924cf6a0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Strahm</dc:creator>
  <cp:keywords/>
  <dc:description/>
  <cp:lastModifiedBy>Tanya Yandall</cp:lastModifiedBy>
  <cp:revision>3</cp:revision>
  <dcterms:created xsi:type="dcterms:W3CDTF">2024-04-22T23:26:00Z</dcterms:created>
  <dcterms:modified xsi:type="dcterms:W3CDTF">2024-04-22T23:26:00Z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