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F639" w14:textId="77777777" w:rsidR="007567B1" w:rsidRDefault="007567B1" w:rsidP="0017362A">
      <w:pPr>
        <w:rPr>
          <w:b/>
          <w:bCs/>
        </w:rPr>
      </w:pPr>
    </w:p>
    <w:p w14:paraId="708BBEB6" w14:textId="77777777" w:rsidR="007567B1" w:rsidRDefault="007567B1" w:rsidP="0017362A">
      <w:pPr>
        <w:rPr>
          <w:b/>
          <w:bCs/>
        </w:rPr>
      </w:pPr>
    </w:p>
    <w:p w14:paraId="6B0350CC" w14:textId="7B25B488" w:rsidR="0017362A" w:rsidRPr="007567B1" w:rsidRDefault="0017362A" w:rsidP="007567B1">
      <w:pPr>
        <w:rPr>
          <w:rFonts w:ascii="Arial" w:hAnsi="Arial" w:cs="Arial"/>
          <w:b/>
          <w:bCs/>
        </w:rPr>
      </w:pPr>
      <w:r w:rsidRPr="007567B1">
        <w:rPr>
          <w:rFonts w:ascii="Arial" w:hAnsi="Arial" w:cs="Arial"/>
          <w:b/>
          <w:bCs/>
        </w:rPr>
        <w:t>Discrepancy in the Perceived Economic Value of Diabetes Education: A Comparative Analysis of Patients and Nursing Staff</w:t>
      </w:r>
    </w:p>
    <w:p w14:paraId="46662596" w14:textId="77777777" w:rsidR="00F37A0F" w:rsidRPr="007567B1" w:rsidRDefault="00F37A0F" w:rsidP="007567B1">
      <w:pPr>
        <w:rPr>
          <w:rFonts w:ascii="Arial" w:hAnsi="Arial" w:cs="Arial"/>
          <w:b/>
          <w:bCs/>
        </w:rPr>
      </w:pPr>
    </w:p>
    <w:p w14:paraId="239CB3C7" w14:textId="77777777" w:rsidR="0017362A" w:rsidRPr="007567B1" w:rsidRDefault="0017362A" w:rsidP="007567B1">
      <w:pPr>
        <w:rPr>
          <w:rFonts w:ascii="Arial" w:hAnsi="Arial" w:cs="Arial"/>
        </w:rPr>
      </w:pPr>
      <w:r w:rsidRPr="007567B1">
        <w:rPr>
          <w:rFonts w:ascii="Arial" w:hAnsi="Arial" w:cs="Arial"/>
          <w:b/>
          <w:bCs/>
        </w:rPr>
        <w:t xml:space="preserve">Background: </w:t>
      </w:r>
      <w:r w:rsidRPr="007567B1">
        <w:rPr>
          <w:rFonts w:ascii="Arial" w:hAnsi="Arial" w:cs="Arial"/>
        </w:rPr>
        <w:t>Diabetes education is essential for effective self-management, yet its economic valuation remains under-recognized in clinical practice. This study compares the Willingness to Pay (WTP) for diabetes education between patients and nursing staff to provide evidence for sustainable reimbursement policies.</w:t>
      </w:r>
    </w:p>
    <w:p w14:paraId="4DA99682" w14:textId="77777777" w:rsidR="0017362A" w:rsidRPr="007567B1" w:rsidRDefault="0017362A" w:rsidP="007567B1">
      <w:pPr>
        <w:rPr>
          <w:rFonts w:ascii="Arial" w:hAnsi="Arial" w:cs="Arial"/>
          <w:b/>
          <w:bCs/>
        </w:rPr>
      </w:pPr>
      <w:r w:rsidRPr="007567B1">
        <w:rPr>
          <w:rFonts w:ascii="Arial" w:hAnsi="Arial" w:cs="Arial"/>
          <w:b/>
          <w:bCs/>
        </w:rPr>
        <w:t xml:space="preserve">Methods: </w:t>
      </w:r>
      <w:r w:rsidRPr="007567B1">
        <w:rPr>
          <w:rFonts w:ascii="Arial" w:hAnsi="Arial" w:cs="Arial"/>
        </w:rPr>
        <w:t>A cross-sectional survey was conducted at Uijeongbu St. Mary's Hospital involving 133 patients/caregivers and 60 nursing staff. WTP was categorized into seven levels, ranging from "No WTP" to "&gt;$75" (converted from KRW). Patient outcomes included satisfaction and confidence levels, while nurse outcomes focused on perceived clinical workload reduction and education efficacy.</w:t>
      </w:r>
    </w:p>
    <w:p w14:paraId="7DFFE26C" w14:textId="77777777" w:rsidR="0017362A" w:rsidRPr="007567B1" w:rsidRDefault="0017362A" w:rsidP="007567B1">
      <w:pPr>
        <w:rPr>
          <w:rFonts w:ascii="Arial" w:hAnsi="Arial" w:cs="Arial"/>
          <w:b/>
          <w:bCs/>
        </w:rPr>
      </w:pPr>
      <w:r w:rsidRPr="007567B1">
        <w:rPr>
          <w:rFonts w:ascii="Arial" w:hAnsi="Arial" w:cs="Arial"/>
          <w:b/>
          <w:bCs/>
        </w:rPr>
        <w:t xml:space="preserve">Results: </w:t>
      </w:r>
      <w:r w:rsidRPr="007567B1">
        <w:rPr>
          <w:rFonts w:ascii="Arial" w:hAnsi="Arial" w:cs="Arial"/>
        </w:rPr>
        <w:t>The patient group (n=133) had a mean age of 59.8±16.4 years and a baseline HbA1c of 9.5±2.4%. Post-education, 97.7% of patients found the program helpful, and 96.2% reported improved confidence in diabetes management. Regarding WTP, the majority of patients (71.4%) favored the $8–23 range, with only 20.3% willing to pay more than $23. Among nursing staff (n=60) at the same institution, while 43.3% also favored the $8–23 range, a significantly higher proportion (28.3%) valued the service at over $23 compared to patients. Conversely, 26.7% of nurses suggested a lower cost (≤$8), reflecting concerns about patient accessibility. Nurses reported that dedicated education programs significantly reduced their routine clinical workload (83.3% reported moderate to high reduction) and improved overall ward efficiency.</w:t>
      </w:r>
    </w:p>
    <w:p w14:paraId="5C9E4A56" w14:textId="77777777" w:rsidR="0017362A" w:rsidRPr="007567B1" w:rsidRDefault="0017362A" w:rsidP="007567B1">
      <w:pPr>
        <w:rPr>
          <w:rFonts w:ascii="Arial" w:hAnsi="Arial" w:cs="Arial"/>
          <w:b/>
          <w:bCs/>
        </w:rPr>
      </w:pPr>
      <w:r w:rsidRPr="007567B1">
        <w:rPr>
          <w:rFonts w:ascii="Arial" w:hAnsi="Arial" w:cs="Arial"/>
          <w:b/>
          <w:bCs/>
        </w:rPr>
        <w:t xml:space="preserve">Conclusion: </w:t>
      </w:r>
      <w:r w:rsidRPr="007567B1">
        <w:rPr>
          <w:rFonts w:ascii="Arial" w:hAnsi="Arial" w:cs="Arial"/>
        </w:rPr>
        <w:t>Both patients and nurses at Uijeongbu St. Mary's Hospital acknowledge the high clinical utility of diabetes education. However, nurses tend to place a higher professional valuation on the service, likely due to its role in systemic workload reduction. These findings highlight the need for institutional reimbursement that bridges the gap between patient affordability and the professional value recognized by medical staff.</w:t>
      </w:r>
    </w:p>
    <w:p w14:paraId="7EEF9394" w14:textId="77777777" w:rsidR="0070530D" w:rsidRPr="0017362A" w:rsidRDefault="0070530D"/>
    <w:sectPr w:rsidR="0070530D" w:rsidRPr="0017362A">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CB00" w14:textId="77777777" w:rsidR="00E577DF" w:rsidRDefault="00E577DF" w:rsidP="00736275">
      <w:pPr>
        <w:spacing w:after="0"/>
      </w:pPr>
      <w:r>
        <w:separator/>
      </w:r>
    </w:p>
  </w:endnote>
  <w:endnote w:type="continuationSeparator" w:id="0">
    <w:p w14:paraId="0F380EDC" w14:textId="77777777" w:rsidR="00E577DF" w:rsidRDefault="00E577DF" w:rsidP="007362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3FE11" w14:textId="77777777" w:rsidR="00E577DF" w:rsidRDefault="00E577DF" w:rsidP="00736275">
      <w:pPr>
        <w:spacing w:after="0"/>
      </w:pPr>
      <w:r>
        <w:separator/>
      </w:r>
    </w:p>
  </w:footnote>
  <w:footnote w:type="continuationSeparator" w:id="0">
    <w:p w14:paraId="25BD2C72" w14:textId="77777777" w:rsidR="00E577DF" w:rsidRDefault="00E577DF" w:rsidP="0073627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0F"/>
    <w:rsid w:val="00001825"/>
    <w:rsid w:val="000440B9"/>
    <w:rsid w:val="00044379"/>
    <w:rsid w:val="001309B7"/>
    <w:rsid w:val="0013203D"/>
    <w:rsid w:val="00151BDF"/>
    <w:rsid w:val="0017362A"/>
    <w:rsid w:val="002133CE"/>
    <w:rsid w:val="00244B14"/>
    <w:rsid w:val="0027185D"/>
    <w:rsid w:val="003023B9"/>
    <w:rsid w:val="00310BCC"/>
    <w:rsid w:val="00314DF8"/>
    <w:rsid w:val="00357160"/>
    <w:rsid w:val="00364039"/>
    <w:rsid w:val="003814B7"/>
    <w:rsid w:val="003B42D7"/>
    <w:rsid w:val="00405D69"/>
    <w:rsid w:val="004709FC"/>
    <w:rsid w:val="00495E74"/>
    <w:rsid w:val="005257AA"/>
    <w:rsid w:val="00546175"/>
    <w:rsid w:val="005B746A"/>
    <w:rsid w:val="006979C7"/>
    <w:rsid w:val="006D72AB"/>
    <w:rsid w:val="006E4AF5"/>
    <w:rsid w:val="0070530D"/>
    <w:rsid w:val="00736275"/>
    <w:rsid w:val="007530A1"/>
    <w:rsid w:val="007567B1"/>
    <w:rsid w:val="007932D0"/>
    <w:rsid w:val="00820C91"/>
    <w:rsid w:val="00880FAA"/>
    <w:rsid w:val="008A7B26"/>
    <w:rsid w:val="008B7250"/>
    <w:rsid w:val="0095582A"/>
    <w:rsid w:val="00994D78"/>
    <w:rsid w:val="009C586F"/>
    <w:rsid w:val="00A612C7"/>
    <w:rsid w:val="00A820F5"/>
    <w:rsid w:val="00BC3262"/>
    <w:rsid w:val="00C319DF"/>
    <w:rsid w:val="00D914B2"/>
    <w:rsid w:val="00DB19AB"/>
    <w:rsid w:val="00DF2017"/>
    <w:rsid w:val="00E108AF"/>
    <w:rsid w:val="00E577DF"/>
    <w:rsid w:val="00E63AFF"/>
    <w:rsid w:val="00E64B53"/>
    <w:rsid w:val="00F37A0F"/>
    <w:rsid w:val="00F57226"/>
    <w:rsid w:val="00F6613F"/>
    <w:rsid w:val="00F81E96"/>
    <w:rsid w:val="00FD5F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F36C7"/>
  <w15:chartTrackingRefBased/>
  <w15:docId w15:val="{1B162030-A8D8-4BF2-8CE1-E089BD80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F37A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F37A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F37A0F"/>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F37A0F"/>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F37A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F37A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F37A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F37A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F37A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A0F"/>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F37A0F"/>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F37A0F"/>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F37A0F"/>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F37A0F"/>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F37A0F"/>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F37A0F"/>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F37A0F"/>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F37A0F"/>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F37A0F"/>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A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A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A0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37A0F"/>
    <w:pPr>
      <w:spacing w:before="160"/>
      <w:jc w:val="center"/>
    </w:pPr>
    <w:rPr>
      <w:i/>
      <w:iCs/>
      <w:color w:val="404040" w:themeColor="text1" w:themeTint="BF"/>
    </w:rPr>
  </w:style>
  <w:style w:type="character" w:customStyle="1" w:styleId="QuoteChar">
    <w:name w:val="Quote Char"/>
    <w:basedOn w:val="DefaultParagraphFont"/>
    <w:link w:val="Quote"/>
    <w:uiPriority w:val="29"/>
    <w:rsid w:val="00F37A0F"/>
    <w:rPr>
      <w:i/>
      <w:iCs/>
      <w:color w:val="404040" w:themeColor="text1" w:themeTint="BF"/>
    </w:rPr>
  </w:style>
  <w:style w:type="paragraph" w:styleId="ListParagraph">
    <w:name w:val="List Paragraph"/>
    <w:basedOn w:val="Normal"/>
    <w:uiPriority w:val="34"/>
    <w:qFormat/>
    <w:rsid w:val="00F37A0F"/>
    <w:pPr>
      <w:ind w:left="720"/>
      <w:contextualSpacing/>
    </w:pPr>
  </w:style>
  <w:style w:type="character" w:styleId="IntenseEmphasis">
    <w:name w:val="Intense Emphasis"/>
    <w:basedOn w:val="DefaultParagraphFont"/>
    <w:uiPriority w:val="21"/>
    <w:qFormat/>
    <w:rsid w:val="00F37A0F"/>
    <w:rPr>
      <w:i/>
      <w:iCs/>
      <w:color w:val="2F5496" w:themeColor="accent1" w:themeShade="BF"/>
    </w:rPr>
  </w:style>
  <w:style w:type="paragraph" w:styleId="IntenseQuote">
    <w:name w:val="Intense Quote"/>
    <w:basedOn w:val="Normal"/>
    <w:next w:val="Normal"/>
    <w:link w:val="IntenseQuoteChar"/>
    <w:uiPriority w:val="30"/>
    <w:qFormat/>
    <w:rsid w:val="00F37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7A0F"/>
    <w:rPr>
      <w:i/>
      <w:iCs/>
      <w:color w:val="2F5496" w:themeColor="accent1" w:themeShade="BF"/>
    </w:rPr>
  </w:style>
  <w:style w:type="character" w:styleId="IntenseReference">
    <w:name w:val="Intense Reference"/>
    <w:basedOn w:val="DefaultParagraphFont"/>
    <w:uiPriority w:val="32"/>
    <w:qFormat/>
    <w:rsid w:val="00F37A0F"/>
    <w:rPr>
      <w:b/>
      <w:bCs/>
      <w:smallCaps/>
      <w:color w:val="2F5496" w:themeColor="accent1" w:themeShade="BF"/>
      <w:spacing w:val="5"/>
    </w:rPr>
  </w:style>
  <w:style w:type="paragraph" w:styleId="Header">
    <w:name w:val="header"/>
    <w:basedOn w:val="Normal"/>
    <w:link w:val="HeaderChar"/>
    <w:uiPriority w:val="99"/>
    <w:unhideWhenUsed/>
    <w:rsid w:val="00364039"/>
    <w:pPr>
      <w:tabs>
        <w:tab w:val="center" w:pos="4513"/>
        <w:tab w:val="right" w:pos="9026"/>
      </w:tabs>
      <w:snapToGrid w:val="0"/>
    </w:pPr>
  </w:style>
  <w:style w:type="character" w:customStyle="1" w:styleId="HeaderChar">
    <w:name w:val="Header Char"/>
    <w:basedOn w:val="DefaultParagraphFont"/>
    <w:link w:val="Header"/>
    <w:uiPriority w:val="99"/>
    <w:rsid w:val="00364039"/>
  </w:style>
  <w:style w:type="paragraph" w:styleId="Footer">
    <w:name w:val="footer"/>
    <w:basedOn w:val="Normal"/>
    <w:link w:val="FooterChar"/>
    <w:uiPriority w:val="99"/>
    <w:unhideWhenUsed/>
    <w:rsid w:val="00364039"/>
    <w:pPr>
      <w:tabs>
        <w:tab w:val="center" w:pos="4513"/>
        <w:tab w:val="right" w:pos="9026"/>
      </w:tabs>
      <w:snapToGrid w:val="0"/>
    </w:pPr>
  </w:style>
  <w:style w:type="character" w:customStyle="1" w:styleId="FooterChar">
    <w:name w:val="Footer Char"/>
    <w:basedOn w:val="DefaultParagraphFont"/>
    <w:link w:val="Footer"/>
    <w:uiPriority w:val="99"/>
    <w:rsid w:val="00364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589712">
      <w:bodyDiv w:val="1"/>
      <w:marLeft w:val="0"/>
      <w:marRight w:val="0"/>
      <w:marTop w:val="0"/>
      <w:marBottom w:val="0"/>
      <w:divBdr>
        <w:top w:val="none" w:sz="0" w:space="0" w:color="auto"/>
        <w:left w:val="none" w:sz="0" w:space="0" w:color="auto"/>
        <w:bottom w:val="none" w:sz="0" w:space="0" w:color="auto"/>
        <w:right w:val="none" w:sz="0" w:space="0" w:color="auto"/>
      </w:divBdr>
    </w:div>
    <w:div w:id="200916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4598BB-EB78-4BB2-A067-D0D4F41EC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854E22-1FDF-4DB9-A551-3206F45B6CA0}">
  <ds:schemaRefs>
    <ds:schemaRef ds:uri="http://schemas.microsoft.com/sharepoint/v3/contenttype/forms"/>
  </ds:schemaRefs>
</ds:datastoreItem>
</file>

<file path=customXml/itemProps3.xml><?xml version="1.0" encoding="utf-8"?>
<ds:datastoreItem xmlns:ds="http://schemas.openxmlformats.org/officeDocument/2006/customXml" ds:itemID="{40C53142-8757-4E6F-B2CC-8D955886967A}">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1779</Characters>
  <Application>Microsoft Office Word</Application>
  <DocSecurity>0</DocSecurity>
  <Lines>14</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한상 백</dc:creator>
  <cp:keywords/>
  <dc:description/>
  <cp:lastModifiedBy>Tanya Yandall</cp:lastModifiedBy>
  <cp:revision>3</cp:revision>
  <dcterms:created xsi:type="dcterms:W3CDTF">2026-02-15T19:21:00Z</dcterms:created>
  <dcterms:modified xsi:type="dcterms:W3CDTF">2026-02-15T19:21:00Z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soo_Trace_ID">
    <vt:lpwstr>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</vt:lpwstr>
  </property>
  <property fmtid="{D5CDD505-2E9C-101B-9397-08002B2CF9AE}" pid="3" name="FDRClass">
    <vt:lpwstr>0</vt:lpwstr>
  </property>
  <property fmtid="{D5CDD505-2E9C-101B-9397-08002B2CF9AE}" pid="4" name="FDRSet">
    <vt:lpwstr>manual</vt:lpwstr>
  </property>
  <property fmtid="{D5CDD505-2E9C-101B-9397-08002B2CF9AE}" pid="5" name="ContentTypeId">
    <vt:lpwstr>0x01010004DB0B76CE105D459F58063C0D0B3831</vt:lpwstr>
  </property>
  <property fmtid="{D5CDD505-2E9C-101B-9397-08002B2CF9AE}" pid="6" name="MediaServiceImageTags">
    <vt:lpwstr/>
  </property>
</Properties>
</file>