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DD879" w14:textId="77777777" w:rsidR="00DC42D0" w:rsidRDefault="00DC42D0"/>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DC42D0" w14:paraId="6AE28E46" w14:textId="77777777">
        <w:tc>
          <w:tcPr>
            <w:tcW w:w="8640" w:type="dxa"/>
            <w:shd w:val="clear" w:color="auto" w:fill="F2F2F2"/>
          </w:tcPr>
          <w:p w14:paraId="23B54E43" w14:textId="550F7BB2" w:rsidR="00DC42D0" w:rsidRPr="00E83831" w:rsidRDefault="00E83831">
            <w:pPr>
              <w:jc w:val="both"/>
              <w:rPr>
                <w:rFonts w:ascii="Arial" w:eastAsia="Arial" w:hAnsi="Arial" w:cs="Arial"/>
                <w:bCs/>
                <w:i/>
                <w:iCs/>
                <w:sz w:val="22"/>
                <w:szCs w:val="22"/>
              </w:rPr>
            </w:pPr>
            <w:r w:rsidRPr="00E83831">
              <w:rPr>
                <w:rFonts w:ascii="Arial" w:eastAsia="Arial" w:hAnsi="Arial" w:cs="Arial"/>
                <w:bCs/>
                <w:i/>
                <w:iCs/>
                <w:sz w:val="22"/>
                <w:szCs w:val="22"/>
              </w:rPr>
              <w:t>Hands-on activity</w:t>
            </w:r>
          </w:p>
          <w:p w14:paraId="53E035D1" w14:textId="77777777" w:rsidR="00DC42D0" w:rsidRDefault="00A67E0C">
            <w:pPr>
              <w:spacing w:line="276" w:lineRule="auto"/>
              <w:rPr>
                <w:rFonts w:ascii="Arial" w:eastAsia="Arial" w:hAnsi="Arial" w:cs="Arial"/>
                <w:b/>
                <w:bCs/>
                <w:color w:val="000000" w:themeColor="text1"/>
                <w:sz w:val="22"/>
                <w:szCs w:val="22"/>
              </w:rPr>
            </w:pPr>
            <w:r w:rsidRPr="00E83831">
              <w:rPr>
                <w:rFonts w:ascii="Arial" w:eastAsia="Arial" w:hAnsi="Arial" w:cs="Arial"/>
                <w:b/>
                <w:bCs/>
                <w:color w:val="000000" w:themeColor="text1"/>
                <w:sz w:val="22"/>
                <w:szCs w:val="22"/>
              </w:rPr>
              <w:t>“OLATA”: The Organizational Learning for Accelerating Transformative Adaptation Game</w:t>
            </w:r>
          </w:p>
          <w:p w14:paraId="7D882439" w14:textId="77777777" w:rsidR="00E83831" w:rsidRPr="00E83831" w:rsidRDefault="00E83831">
            <w:pPr>
              <w:spacing w:line="276" w:lineRule="auto"/>
              <w:rPr>
                <w:rFonts w:ascii="Arial" w:eastAsia="Arial" w:hAnsi="Arial" w:cs="Arial"/>
                <w:b/>
                <w:bCs/>
                <w:sz w:val="22"/>
                <w:szCs w:val="22"/>
              </w:rPr>
            </w:pPr>
          </w:p>
        </w:tc>
      </w:tr>
      <w:tr w:rsidR="00DC42D0" w14:paraId="4B7C5EEB" w14:textId="77777777">
        <w:trPr>
          <w:trHeight w:val="1511"/>
        </w:trPr>
        <w:tc>
          <w:tcPr>
            <w:tcW w:w="8640" w:type="dxa"/>
          </w:tcPr>
          <w:p w14:paraId="70E71AE5" w14:textId="77777777" w:rsidR="00DC42D0" w:rsidRPr="00F922FD" w:rsidRDefault="00DC42D0">
            <w:pPr>
              <w:rPr>
                <w:rFonts w:ascii="Arial" w:eastAsia="Arial" w:hAnsi="Arial" w:cs="Arial"/>
                <w:b/>
                <w:color w:val="000000" w:themeColor="text1"/>
                <w:sz w:val="22"/>
                <w:szCs w:val="22"/>
              </w:rPr>
            </w:pPr>
          </w:p>
          <w:p w14:paraId="6CFFC018" w14:textId="150F9185" w:rsidR="00DC42D0" w:rsidRPr="00F922FD" w:rsidRDefault="00F922FD">
            <w:pPr>
              <w:rPr>
                <w:rFonts w:ascii="Arial" w:eastAsia="Arial" w:hAnsi="Arial" w:cs="Arial"/>
                <w:color w:val="000000" w:themeColor="text1"/>
                <w:sz w:val="22"/>
                <w:szCs w:val="22"/>
              </w:rPr>
            </w:pPr>
            <w:r w:rsidRPr="00F922FD">
              <w:rPr>
                <w:rFonts w:ascii="Arial" w:eastAsia="Arial" w:hAnsi="Arial" w:cs="Arial"/>
                <w:color w:val="000000" w:themeColor="text1"/>
                <w:sz w:val="22"/>
                <w:szCs w:val="22"/>
                <w:highlight w:val="white"/>
              </w:rPr>
              <w:t>Planned adaptation investments frequently take the form of structured development-type projects backed by international sponsors. While valuable</w:t>
            </w:r>
            <w:r>
              <w:rPr>
                <w:rFonts w:ascii="Arial" w:eastAsia="Arial" w:hAnsi="Arial" w:cs="Arial"/>
                <w:color w:val="000000" w:themeColor="text1"/>
                <w:sz w:val="22"/>
                <w:szCs w:val="22"/>
                <w:highlight w:val="white"/>
              </w:rPr>
              <w:t xml:space="preserve"> and necessary</w:t>
            </w:r>
            <w:r w:rsidRPr="00F922FD">
              <w:rPr>
                <w:rFonts w:ascii="Arial" w:eastAsia="Arial" w:hAnsi="Arial" w:cs="Arial"/>
                <w:color w:val="000000" w:themeColor="text1"/>
                <w:sz w:val="22"/>
                <w:szCs w:val="22"/>
                <w:highlight w:val="white"/>
              </w:rPr>
              <w:t xml:space="preserve">, these efforts may </w:t>
            </w:r>
            <w:r>
              <w:rPr>
                <w:rFonts w:ascii="Arial" w:eastAsia="Arial" w:hAnsi="Arial" w:cs="Arial"/>
                <w:color w:val="000000" w:themeColor="text1"/>
                <w:sz w:val="22"/>
                <w:szCs w:val="22"/>
                <w:highlight w:val="white"/>
              </w:rPr>
              <w:t>create tensions with organizational efforts towards</w:t>
            </w:r>
            <w:r w:rsidRPr="00F922FD">
              <w:rPr>
                <w:rFonts w:ascii="Arial" w:eastAsia="Arial" w:hAnsi="Arial" w:cs="Arial"/>
                <w:color w:val="000000" w:themeColor="text1"/>
                <w:sz w:val="22"/>
                <w:szCs w:val="22"/>
                <w:highlight w:val="white"/>
              </w:rPr>
              <w:t xml:space="preserve"> transformative adaptation. </w:t>
            </w:r>
            <w:r w:rsidRPr="00F922FD">
              <w:rPr>
                <w:rFonts w:ascii="Arial" w:eastAsia="Arial" w:hAnsi="Arial" w:cs="Arial"/>
                <w:color w:val="000000" w:themeColor="text1"/>
                <w:sz w:val="22"/>
                <w:szCs w:val="22"/>
              </w:rPr>
              <w:t>Such transformative adaptations require thoughtful, collaborative, and equity-based approaches sensitive to culture and place, situating adaptation within broader goals of social equity and social-ecological wellbeing.</w:t>
            </w:r>
            <w:r>
              <w:rPr>
                <w:rFonts w:ascii="Arial" w:eastAsia="Arial" w:hAnsi="Arial" w:cs="Arial"/>
                <w:color w:val="000000" w:themeColor="text1"/>
                <w:sz w:val="22"/>
                <w:szCs w:val="22"/>
              </w:rPr>
              <w:t xml:space="preserve"> </w:t>
            </w:r>
            <w:r w:rsidRPr="00F922FD">
              <w:rPr>
                <w:rFonts w:ascii="Arial" w:eastAsia="Arial" w:hAnsi="Arial" w:cs="Arial"/>
                <w:color w:val="000000" w:themeColor="text1"/>
                <w:sz w:val="22"/>
                <w:szCs w:val="22"/>
              </w:rPr>
              <w:t xml:space="preserve">The plethora of public, private, and non-profit organizations (“meso-level organisations”) working to facilitate adaptation within communities and specific places play critical roles in adaptation outcomes. </w:t>
            </w:r>
            <w:r>
              <w:rPr>
                <w:rFonts w:ascii="Arial" w:eastAsia="Arial" w:hAnsi="Arial" w:cs="Arial"/>
                <w:color w:val="000000" w:themeColor="text1"/>
                <w:sz w:val="22"/>
                <w:szCs w:val="22"/>
              </w:rPr>
              <w:t>Their capacities and strategies to negotiate their own missions in adaptation with planned adaptation initiatives in which they become involved is poorly understood</w:t>
            </w:r>
            <w:r w:rsidRPr="00F922FD">
              <w:rPr>
                <w:rFonts w:ascii="Arial" w:eastAsia="Arial" w:hAnsi="Arial" w:cs="Arial"/>
                <w:color w:val="000000" w:themeColor="text1"/>
                <w:sz w:val="22"/>
                <w:szCs w:val="22"/>
              </w:rPr>
              <w:t>.</w:t>
            </w:r>
          </w:p>
          <w:p w14:paraId="2A795121" w14:textId="77777777" w:rsidR="00DC42D0" w:rsidRPr="00F922FD" w:rsidRDefault="00DC42D0">
            <w:pPr>
              <w:rPr>
                <w:rFonts w:ascii="Arial" w:eastAsia="Arial" w:hAnsi="Arial" w:cs="Arial"/>
                <w:color w:val="000000" w:themeColor="text1"/>
                <w:sz w:val="22"/>
                <w:szCs w:val="22"/>
              </w:rPr>
            </w:pPr>
          </w:p>
          <w:p w14:paraId="25A1AD46" w14:textId="2307F604" w:rsidR="00DC42D0" w:rsidRDefault="00A67E0C" w:rsidP="00F922FD">
            <w:pPr>
              <w:rPr>
                <w:rFonts w:ascii="Arial" w:eastAsia="Arial" w:hAnsi="Arial" w:cs="Arial"/>
                <w:color w:val="000000" w:themeColor="text1"/>
                <w:sz w:val="22"/>
                <w:szCs w:val="22"/>
              </w:rPr>
            </w:pPr>
            <w:r w:rsidRPr="00F922FD">
              <w:rPr>
                <w:rFonts w:ascii="Arial" w:eastAsia="Arial" w:hAnsi="Arial" w:cs="Arial"/>
                <w:color w:val="000000" w:themeColor="text1"/>
                <w:sz w:val="22"/>
                <w:szCs w:val="22"/>
              </w:rPr>
              <w:t xml:space="preserve">This session will introduce a social learning </w:t>
            </w:r>
            <w:r w:rsidR="00F922FD">
              <w:rPr>
                <w:rFonts w:ascii="Arial" w:eastAsia="Arial" w:hAnsi="Arial" w:cs="Arial"/>
                <w:color w:val="000000" w:themeColor="text1"/>
                <w:sz w:val="22"/>
                <w:szCs w:val="22"/>
              </w:rPr>
              <w:t>game</w:t>
            </w:r>
            <w:r w:rsidRPr="00F922FD">
              <w:rPr>
                <w:rFonts w:ascii="Arial" w:eastAsia="Arial" w:hAnsi="Arial" w:cs="Arial"/>
                <w:color w:val="000000" w:themeColor="text1"/>
                <w:sz w:val="22"/>
                <w:szCs w:val="22"/>
              </w:rPr>
              <w:t xml:space="preserve"> designed to help climate adaptation-oriented organizations reflect on their attributes, collaborations, and strategies for transformative adaptation. Drawing from ongoing research in Sub-Saharan Africa, the self-assessment game aims to illuminate pathways toward transformative change and identify barriers and leverage points to enhance planned adaptation practice. </w:t>
            </w:r>
            <w:r w:rsidR="00F922FD">
              <w:rPr>
                <w:rFonts w:ascii="Arial" w:eastAsia="Arial" w:hAnsi="Arial" w:cs="Arial"/>
                <w:color w:val="000000" w:themeColor="text1"/>
                <w:sz w:val="22"/>
                <w:szCs w:val="22"/>
                <w:highlight w:val="white"/>
              </w:rPr>
              <w:t xml:space="preserve">The game is designed to </w:t>
            </w:r>
            <w:r w:rsidRPr="00F922FD">
              <w:rPr>
                <w:rFonts w:ascii="Arial" w:eastAsia="Arial" w:hAnsi="Arial" w:cs="Arial"/>
                <w:color w:val="000000" w:themeColor="text1"/>
                <w:sz w:val="22"/>
                <w:szCs w:val="22"/>
                <w:highlight w:val="white"/>
              </w:rPr>
              <w:t>help organisations critically assess their role in adaptation efforts and explore strategies for more effective, lon</w:t>
            </w:r>
            <w:r w:rsidRPr="00F922FD">
              <w:rPr>
                <w:rFonts w:ascii="Arial" w:eastAsia="Arial" w:hAnsi="Arial" w:cs="Arial"/>
                <w:color w:val="000000" w:themeColor="text1"/>
                <w:sz w:val="22"/>
                <w:szCs w:val="22"/>
                <w:highlight w:val="white"/>
              </w:rPr>
              <w:t>g-term impact.</w:t>
            </w:r>
          </w:p>
          <w:p w14:paraId="6B3F9DC4" w14:textId="77777777" w:rsidR="00F922FD" w:rsidRPr="00F922FD" w:rsidRDefault="00F922FD" w:rsidP="00F922FD">
            <w:pPr>
              <w:rPr>
                <w:rFonts w:ascii="Arial" w:eastAsia="Arial" w:hAnsi="Arial" w:cs="Arial"/>
                <w:color w:val="000000" w:themeColor="text1"/>
                <w:sz w:val="22"/>
                <w:szCs w:val="22"/>
              </w:rPr>
            </w:pPr>
          </w:p>
          <w:p w14:paraId="46812075" w14:textId="6A944714"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t>Introduction</w:t>
            </w:r>
            <w:r w:rsidRPr="00F922FD">
              <w:rPr>
                <w:rFonts w:ascii="Arial" w:eastAsia="Arial" w:hAnsi="Arial" w:cs="Arial"/>
                <w:b/>
                <w:color w:val="000000" w:themeColor="text1"/>
                <w:sz w:val="22"/>
                <w:szCs w:val="22"/>
              </w:rPr>
              <w:t xml:space="preserve">: </w:t>
            </w:r>
            <w:r w:rsidRPr="00F922FD">
              <w:rPr>
                <w:rFonts w:ascii="Arial" w:eastAsia="Arial" w:hAnsi="Arial" w:cs="Arial"/>
                <w:color w:val="000000" w:themeColor="text1"/>
                <w:sz w:val="22"/>
                <w:szCs w:val="22"/>
              </w:rPr>
              <w:t xml:space="preserve">The session will start with a brief overview of the MLO concept and the associated framework used to describe how MLOs exercise resources and power to pursue transformative adaptation goals. The framework is the basis for the </w:t>
            </w:r>
            <w:proofErr w:type="gramStart"/>
            <w:r w:rsidRPr="00F922FD">
              <w:rPr>
                <w:rFonts w:ascii="Arial" w:eastAsia="Arial" w:hAnsi="Arial" w:cs="Arial"/>
                <w:color w:val="000000" w:themeColor="text1"/>
                <w:sz w:val="22"/>
                <w:szCs w:val="22"/>
              </w:rPr>
              <w:t>game, and</w:t>
            </w:r>
            <w:proofErr w:type="gramEnd"/>
            <w:r w:rsidRPr="00F922FD">
              <w:rPr>
                <w:rFonts w:ascii="Arial" w:eastAsia="Arial" w:hAnsi="Arial" w:cs="Arial"/>
                <w:color w:val="000000" w:themeColor="text1"/>
                <w:sz w:val="22"/>
                <w:szCs w:val="22"/>
              </w:rPr>
              <w:t xml:space="preserve"> is based on empirical understanding of how MLOs operate between macro-level actors—such as donors and governmental executing agencies—and micro-level actors, who are the intended beneficiaries of adaptation investments. </w:t>
            </w:r>
          </w:p>
          <w:p w14:paraId="62C71406" w14:textId="77777777" w:rsidR="00DC42D0" w:rsidRPr="00F922FD" w:rsidRDefault="00DC42D0">
            <w:pPr>
              <w:rPr>
                <w:rFonts w:ascii="Arial" w:eastAsia="Arial" w:hAnsi="Arial" w:cs="Arial"/>
                <w:color w:val="000000" w:themeColor="text1"/>
                <w:sz w:val="22"/>
                <w:szCs w:val="22"/>
              </w:rPr>
            </w:pPr>
          </w:p>
          <w:p w14:paraId="0A581D20" w14:textId="1CB89457"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t>Presentation of the OLATA game</w:t>
            </w:r>
            <w:r w:rsidRPr="00F922FD">
              <w:rPr>
                <w:rFonts w:ascii="Arial" w:eastAsia="Arial" w:hAnsi="Arial" w:cs="Arial"/>
                <w:b/>
                <w:color w:val="000000" w:themeColor="text1"/>
                <w:sz w:val="22"/>
                <w:szCs w:val="22"/>
              </w:rPr>
              <w:t xml:space="preserve">: </w:t>
            </w:r>
            <w:r w:rsidRPr="00F922FD">
              <w:rPr>
                <w:rFonts w:ascii="Arial" w:eastAsia="Arial" w:hAnsi="Arial" w:cs="Arial"/>
                <w:color w:val="000000" w:themeColor="text1"/>
                <w:sz w:val="22"/>
                <w:szCs w:val="22"/>
              </w:rPr>
              <w:t xml:space="preserve">We will introduce the OLATA game, which serves as a pilot for a self-assessment tool designed to help MLOs evaluate their individual and collaborative capacities for transformative change. </w:t>
            </w:r>
          </w:p>
          <w:p w14:paraId="7161FA29" w14:textId="77777777" w:rsidR="00DC42D0" w:rsidRPr="00F922FD" w:rsidRDefault="00DC42D0">
            <w:pPr>
              <w:rPr>
                <w:rFonts w:ascii="Arial" w:eastAsia="Arial" w:hAnsi="Arial" w:cs="Arial"/>
                <w:color w:val="000000" w:themeColor="text1"/>
                <w:sz w:val="22"/>
                <w:szCs w:val="22"/>
              </w:rPr>
            </w:pPr>
          </w:p>
          <w:p w14:paraId="56C6F72C" w14:textId="77777777" w:rsidR="00DC42D0" w:rsidRPr="00F922FD" w:rsidRDefault="00A67E0C">
            <w:pPr>
              <w:rPr>
                <w:rFonts w:ascii="Arial" w:eastAsia="Arial" w:hAnsi="Arial" w:cs="Arial"/>
                <w:color w:val="000000" w:themeColor="text1"/>
                <w:sz w:val="22"/>
                <w:szCs w:val="22"/>
              </w:rPr>
            </w:pPr>
            <w:r w:rsidRPr="00F922FD">
              <w:rPr>
                <w:rFonts w:ascii="Arial" w:eastAsia="Arial" w:hAnsi="Arial" w:cs="Arial"/>
                <w:color w:val="000000" w:themeColor="text1"/>
                <w:sz w:val="22"/>
                <w:szCs w:val="22"/>
              </w:rPr>
              <w:t xml:space="preserve">Inspired by role-playing games, participants will receive an MLO avatar card describing their unique functions, resources, expertise, budget, and mission and associated scaling capacity. MLOs will have differential initial capacities to scale </w:t>
            </w:r>
            <w:r w:rsidRPr="00F922FD">
              <w:rPr>
                <w:rFonts w:ascii="Arial" w:eastAsia="Arial" w:hAnsi="Arial" w:cs="Arial"/>
                <w:i/>
                <w:color w:val="000000" w:themeColor="text1"/>
                <w:sz w:val="22"/>
                <w:szCs w:val="22"/>
              </w:rPr>
              <w:t xml:space="preserve">deeply </w:t>
            </w:r>
            <w:r w:rsidRPr="00F922FD">
              <w:rPr>
                <w:rFonts w:ascii="Arial" w:eastAsia="Arial" w:hAnsi="Arial" w:cs="Arial"/>
                <w:color w:val="000000" w:themeColor="text1"/>
                <w:sz w:val="22"/>
                <w:szCs w:val="22"/>
              </w:rPr>
              <w:t xml:space="preserve">(transforming norms, values) </w:t>
            </w:r>
            <w:r w:rsidRPr="00F922FD">
              <w:rPr>
                <w:rFonts w:ascii="Arial" w:eastAsia="Arial" w:hAnsi="Arial" w:cs="Arial"/>
                <w:i/>
                <w:color w:val="000000" w:themeColor="text1"/>
                <w:sz w:val="22"/>
                <w:szCs w:val="22"/>
              </w:rPr>
              <w:t xml:space="preserve">out </w:t>
            </w:r>
            <w:r w:rsidRPr="00F922FD">
              <w:rPr>
                <w:rFonts w:ascii="Arial" w:eastAsia="Arial" w:hAnsi="Arial" w:cs="Arial"/>
                <w:color w:val="000000" w:themeColor="text1"/>
                <w:sz w:val="22"/>
                <w:szCs w:val="22"/>
              </w:rPr>
              <w:t xml:space="preserve">(replicating innovations across populations / places) or </w:t>
            </w:r>
            <w:r w:rsidRPr="00F922FD">
              <w:rPr>
                <w:rFonts w:ascii="Arial" w:eastAsia="Arial" w:hAnsi="Arial" w:cs="Arial"/>
                <w:i/>
                <w:color w:val="000000" w:themeColor="text1"/>
                <w:sz w:val="22"/>
                <w:szCs w:val="22"/>
              </w:rPr>
              <w:t xml:space="preserve">up </w:t>
            </w:r>
            <w:r w:rsidRPr="00F922FD">
              <w:rPr>
                <w:rFonts w:ascii="Arial" w:eastAsia="Arial" w:hAnsi="Arial" w:cs="Arial"/>
                <w:color w:val="000000" w:themeColor="text1"/>
                <w:sz w:val="22"/>
                <w:szCs w:val="22"/>
              </w:rPr>
              <w:t>(altering policy and institutions). Starting resources and expertise will be unevenly distributed on the avatar cards to mimic differential resource and power dynamics among organizations involved in climate adaptation partnerships. In addition, each MLO will experience constraints based on their positionality (e.g., local community-based organization or international NGO) and resources. During the game, participants can utilize their budget to develop strategic partnerships to combine or trade resource tok</w:t>
            </w:r>
            <w:r w:rsidRPr="00F922FD">
              <w:rPr>
                <w:rFonts w:ascii="Arial" w:eastAsia="Arial" w:hAnsi="Arial" w:cs="Arial"/>
                <w:color w:val="000000" w:themeColor="text1"/>
                <w:sz w:val="22"/>
                <w:szCs w:val="22"/>
              </w:rPr>
              <w:t>ens to strengthen capacities and address organizational-level gaps.</w:t>
            </w:r>
          </w:p>
          <w:p w14:paraId="2A052BA0" w14:textId="77777777" w:rsidR="00DC42D0" w:rsidRPr="00F922FD" w:rsidRDefault="00DC42D0">
            <w:pPr>
              <w:rPr>
                <w:rFonts w:ascii="Arial" w:eastAsia="Arial" w:hAnsi="Arial" w:cs="Arial"/>
                <w:color w:val="000000" w:themeColor="text1"/>
                <w:sz w:val="22"/>
                <w:szCs w:val="22"/>
              </w:rPr>
            </w:pPr>
          </w:p>
          <w:p w14:paraId="23676E65" w14:textId="17175766"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lastRenderedPageBreak/>
              <w:t>Playing the OLATA game</w:t>
            </w:r>
            <w:r w:rsidRPr="00F922FD">
              <w:rPr>
                <w:rFonts w:ascii="Arial" w:eastAsia="Arial" w:hAnsi="Arial" w:cs="Arial"/>
                <w:b/>
                <w:color w:val="000000" w:themeColor="text1"/>
                <w:sz w:val="22"/>
                <w:szCs w:val="22"/>
              </w:rPr>
              <w:t xml:space="preserve">: </w:t>
            </w:r>
            <w:r w:rsidRPr="00F922FD">
              <w:rPr>
                <w:rFonts w:ascii="Arial" w:eastAsia="Arial" w:hAnsi="Arial" w:cs="Arial"/>
                <w:color w:val="000000" w:themeColor="text1"/>
                <w:sz w:val="22"/>
                <w:szCs w:val="22"/>
              </w:rPr>
              <w:t>Players will be divided into several tables of 4-6 participants (we have up to 7 facilitators to accommodate ~ 40 players at 7 tables).</w:t>
            </w:r>
            <w:r w:rsidRPr="00F922FD">
              <w:rPr>
                <w:rFonts w:ascii="Arial" w:eastAsia="Arial" w:hAnsi="Arial" w:cs="Arial"/>
                <w:b/>
                <w:color w:val="000000" w:themeColor="text1"/>
                <w:sz w:val="22"/>
                <w:szCs w:val="22"/>
              </w:rPr>
              <w:t xml:space="preserve"> </w:t>
            </w:r>
            <w:r w:rsidRPr="00F922FD">
              <w:rPr>
                <w:rFonts w:ascii="Arial" w:eastAsia="Arial" w:hAnsi="Arial" w:cs="Arial"/>
                <w:color w:val="000000" w:themeColor="text1"/>
                <w:sz w:val="22"/>
                <w:szCs w:val="22"/>
              </w:rPr>
              <w:t>The lead facilitator will provide participants with a fictional adaptation context (e.g., geographic and socioeconomic circumstances) and a planned adaptation call for investment, such as an international sponsor call for improved farm-level resilience. Over the course of three rounds, designed to mimic a multiyear contract cycle, participants will reflect on their abilit</w:t>
            </w:r>
            <w:r w:rsidRPr="00F922FD">
              <w:rPr>
                <w:rFonts w:ascii="Arial" w:eastAsia="Arial" w:hAnsi="Arial" w:cs="Arial"/>
                <w:color w:val="000000" w:themeColor="text1"/>
                <w:sz w:val="22"/>
                <w:szCs w:val="22"/>
              </w:rPr>
              <w:t xml:space="preserve">y to meet sponsor goals while staying true to their own missions of transformative climate adaptation. Each player may allocate their budget directly towards sponsor or transformation </w:t>
            </w:r>
            <w:proofErr w:type="gramStart"/>
            <w:r w:rsidRPr="00F922FD">
              <w:rPr>
                <w:rFonts w:ascii="Arial" w:eastAsia="Arial" w:hAnsi="Arial" w:cs="Arial"/>
                <w:color w:val="000000" w:themeColor="text1"/>
                <w:sz w:val="22"/>
                <w:szCs w:val="22"/>
              </w:rPr>
              <w:t>goals, or</w:t>
            </w:r>
            <w:proofErr w:type="gramEnd"/>
            <w:r w:rsidRPr="00F922FD">
              <w:rPr>
                <w:rFonts w:ascii="Arial" w:eastAsia="Arial" w:hAnsi="Arial" w:cs="Arial"/>
                <w:color w:val="000000" w:themeColor="text1"/>
                <w:sz w:val="22"/>
                <w:szCs w:val="22"/>
              </w:rPr>
              <w:t xml:space="preserve"> may allocate funds to developing new partnerships with other participants. Action Cards will be available in rounds two and three and include positive and negative events that can boost expertise, create challenges, and influence strategy.</w:t>
            </w:r>
          </w:p>
          <w:p w14:paraId="5202E74A" w14:textId="77777777" w:rsidR="00DC42D0" w:rsidRPr="00F922FD" w:rsidRDefault="00DC42D0">
            <w:pPr>
              <w:rPr>
                <w:rFonts w:ascii="Arial" w:eastAsia="Arial" w:hAnsi="Arial" w:cs="Arial"/>
                <w:color w:val="000000" w:themeColor="text1"/>
                <w:sz w:val="22"/>
                <w:szCs w:val="22"/>
              </w:rPr>
            </w:pPr>
          </w:p>
          <w:p w14:paraId="546FF07A" w14:textId="77777777" w:rsidR="00DC42D0" w:rsidRPr="00F922FD" w:rsidRDefault="00A67E0C">
            <w:pPr>
              <w:rPr>
                <w:rFonts w:ascii="Arial" w:eastAsia="Arial" w:hAnsi="Arial" w:cs="Arial"/>
                <w:color w:val="000000" w:themeColor="text1"/>
                <w:sz w:val="22"/>
                <w:szCs w:val="22"/>
              </w:rPr>
            </w:pPr>
            <w:r w:rsidRPr="00F922FD">
              <w:rPr>
                <w:rFonts w:ascii="Arial" w:eastAsia="Arial" w:hAnsi="Arial" w:cs="Arial"/>
                <w:color w:val="000000" w:themeColor="text1"/>
                <w:sz w:val="22"/>
                <w:szCs w:val="22"/>
              </w:rPr>
              <w:t>The first round emphasizes strategy development, where players develop a plan to meet sponsor objectives based on their selected avatar’s resource capacity and expertise. During this round, the MLO needs to assess its existing capacities and resources in relation to sponsor and transformation goals. The second round allows for collaboration and resource trading, where participants may choose to partner with others, barter resources, or take risks through Action Cards to gain new resources. MLOs may use thei</w:t>
            </w:r>
            <w:r w:rsidRPr="00F922FD">
              <w:rPr>
                <w:rFonts w:ascii="Arial" w:eastAsia="Arial" w:hAnsi="Arial" w:cs="Arial"/>
                <w:color w:val="000000" w:themeColor="text1"/>
                <w:sz w:val="22"/>
                <w:szCs w:val="22"/>
              </w:rPr>
              <w:t>r budget during this round towards cultivating new partnerships, investing in another’s capacity, or trading or transferring resources to pursue strategies in alignment with transformative adaptations and sponsor requirements. Once having identified key partners (or deciding to go it alone) and trading needs, participants will develop a strategy in the third round indicating how they would ensure a transformative strategy within the geographic context and sponsor requirements. During this round, players att</w:t>
            </w:r>
            <w:r w:rsidRPr="00F922FD">
              <w:rPr>
                <w:rFonts w:ascii="Arial" w:eastAsia="Arial" w:hAnsi="Arial" w:cs="Arial"/>
                <w:color w:val="000000" w:themeColor="text1"/>
                <w:sz w:val="22"/>
                <w:szCs w:val="22"/>
              </w:rPr>
              <w:t xml:space="preserve">empt to achieve transformation goals in their community based within sponsor constraints on one or more transformation scales: deep, out, and up. </w:t>
            </w:r>
          </w:p>
          <w:p w14:paraId="6569560E" w14:textId="77777777" w:rsidR="00DC42D0" w:rsidRPr="00F922FD" w:rsidRDefault="00DC42D0">
            <w:pPr>
              <w:rPr>
                <w:rFonts w:ascii="Arial" w:eastAsia="Arial" w:hAnsi="Arial" w:cs="Arial"/>
                <w:color w:val="000000" w:themeColor="text1"/>
                <w:sz w:val="22"/>
                <w:szCs w:val="22"/>
              </w:rPr>
            </w:pPr>
          </w:p>
          <w:p w14:paraId="151739D8" w14:textId="3A37D1B0"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t>Facilitator Evaluation</w:t>
            </w:r>
            <w:r w:rsidRPr="00F922FD">
              <w:rPr>
                <w:rFonts w:ascii="Arial" w:eastAsia="Arial" w:hAnsi="Arial" w:cs="Arial"/>
                <w:b/>
                <w:color w:val="000000" w:themeColor="text1"/>
                <w:sz w:val="22"/>
                <w:szCs w:val="22"/>
              </w:rPr>
              <w:t>:</w:t>
            </w:r>
            <w:r w:rsidRPr="00F922FD">
              <w:rPr>
                <w:rFonts w:ascii="Arial" w:eastAsia="Arial" w:hAnsi="Arial" w:cs="Arial"/>
                <w:color w:val="000000" w:themeColor="text1"/>
                <w:sz w:val="22"/>
                <w:szCs w:val="22"/>
              </w:rPr>
              <w:t xml:space="preserve"> After 30 minutes, the lead facilitator ends the exercise. Each player will be scored in two areas at the end of the game: a) sponsor goals, or the extent to which their plan conforms to demands of the sponsor’s call for investment and their organizational budget and b) transformation goals, or how capacities and resources managed by the MLO enable it to pursue transformative adaptation across one or more dimensions (deep-, out-, and up-scaling). </w:t>
            </w:r>
          </w:p>
          <w:p w14:paraId="3712D661" w14:textId="77777777" w:rsidR="00DC42D0" w:rsidRPr="00F922FD" w:rsidRDefault="00DC42D0">
            <w:pPr>
              <w:rPr>
                <w:rFonts w:ascii="Arial" w:eastAsia="Arial" w:hAnsi="Arial" w:cs="Arial"/>
                <w:color w:val="000000" w:themeColor="text1"/>
                <w:sz w:val="22"/>
                <w:szCs w:val="22"/>
              </w:rPr>
            </w:pPr>
          </w:p>
          <w:p w14:paraId="68B728F1" w14:textId="372FB896"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t>Reflective Plenary Discussion</w:t>
            </w:r>
            <w:r w:rsidRPr="00F922FD">
              <w:rPr>
                <w:rFonts w:ascii="Arial" w:eastAsia="Arial" w:hAnsi="Arial" w:cs="Arial"/>
                <w:b/>
                <w:color w:val="000000" w:themeColor="text1"/>
                <w:sz w:val="22"/>
                <w:szCs w:val="22"/>
              </w:rPr>
              <w:t>:</w:t>
            </w:r>
            <w:r w:rsidRPr="00F922FD">
              <w:rPr>
                <w:rFonts w:ascii="Arial" w:eastAsia="Arial" w:hAnsi="Arial" w:cs="Arial"/>
                <w:color w:val="000000" w:themeColor="text1"/>
                <w:sz w:val="22"/>
                <w:szCs w:val="22"/>
              </w:rPr>
              <w:t xml:space="preserve"> The facilitator will lead a discussion on key takeaways: What did participants learn about their own organizational capacities and strategies for engaging in climate adaptation? What are the main bottlenecks to transformative adaptation in the context of planned investments, and how can they be addressed? Lastly, how useful was the game as a self-assessment and learning tool, and how could it be improved?</w:t>
            </w:r>
          </w:p>
          <w:p w14:paraId="55AAA05B" w14:textId="77777777" w:rsidR="00DC42D0" w:rsidRPr="00F922FD" w:rsidRDefault="00DC42D0">
            <w:pPr>
              <w:rPr>
                <w:rFonts w:ascii="Arial" w:eastAsia="Arial" w:hAnsi="Arial" w:cs="Arial"/>
                <w:color w:val="000000" w:themeColor="text1"/>
                <w:sz w:val="22"/>
                <w:szCs w:val="22"/>
              </w:rPr>
            </w:pPr>
          </w:p>
          <w:p w14:paraId="0DD6B81A" w14:textId="77777777" w:rsidR="00DC42D0" w:rsidRPr="00F922FD" w:rsidRDefault="00A67E0C">
            <w:pPr>
              <w:rPr>
                <w:rFonts w:ascii="Arial" w:eastAsia="Arial" w:hAnsi="Arial" w:cs="Arial"/>
                <w:color w:val="000000" w:themeColor="text1"/>
                <w:sz w:val="22"/>
                <w:szCs w:val="22"/>
              </w:rPr>
            </w:pPr>
            <w:r w:rsidRPr="00F922FD">
              <w:rPr>
                <w:rFonts w:ascii="Arial" w:eastAsia="Arial" w:hAnsi="Arial" w:cs="Arial"/>
                <w:b/>
                <w:color w:val="000000" w:themeColor="text1"/>
                <w:sz w:val="22"/>
                <w:szCs w:val="22"/>
              </w:rPr>
              <w:t>Outcomes:</w:t>
            </w:r>
            <w:r w:rsidRPr="00F922FD">
              <w:rPr>
                <w:rFonts w:ascii="Arial" w:eastAsia="Arial" w:hAnsi="Arial" w:cs="Arial"/>
                <w:color w:val="000000" w:themeColor="text1"/>
                <w:sz w:val="22"/>
                <w:szCs w:val="22"/>
              </w:rPr>
              <w:t xml:space="preserve"> The session will foster learning among participants about the significance of meso-level actors as intentional agents of potential transformative change in climate change adaptation. The exercise will allow participants to reflect on transformative capacities held individually and collectively, how such capacities can be mobilized in transformative strategies, and what this implies in the context of planned adaptation scenarios. The self-reflection tool will provide a valuable opportunity for diverse MLOs,</w:t>
            </w:r>
            <w:r w:rsidRPr="00F922FD">
              <w:rPr>
                <w:rFonts w:ascii="Arial" w:eastAsia="Arial" w:hAnsi="Arial" w:cs="Arial"/>
                <w:color w:val="000000" w:themeColor="text1"/>
                <w:sz w:val="22"/>
                <w:szCs w:val="22"/>
              </w:rPr>
              <w:t xml:space="preserve"> such as community-based organizations or policymakers, to collaborate to deliver transformative climate adaptation initiatives. </w:t>
            </w:r>
          </w:p>
          <w:p w14:paraId="01616649" w14:textId="77777777" w:rsidR="00DC42D0" w:rsidRPr="00F922FD" w:rsidRDefault="00DC42D0">
            <w:pPr>
              <w:rPr>
                <w:rFonts w:ascii="Arial" w:eastAsia="Arial" w:hAnsi="Arial" w:cs="Arial"/>
                <w:color w:val="000000" w:themeColor="text1"/>
                <w:sz w:val="22"/>
                <w:szCs w:val="22"/>
              </w:rPr>
            </w:pPr>
          </w:p>
          <w:p w14:paraId="109DB1C6" w14:textId="77777777" w:rsidR="00DC42D0" w:rsidRPr="00F922FD" w:rsidRDefault="00A67E0C">
            <w:pPr>
              <w:rPr>
                <w:rFonts w:ascii="Arial" w:eastAsia="Arial" w:hAnsi="Arial" w:cs="Arial"/>
                <w:color w:val="000000" w:themeColor="text1"/>
                <w:sz w:val="22"/>
                <w:szCs w:val="22"/>
              </w:rPr>
            </w:pPr>
            <w:r w:rsidRPr="00F922FD">
              <w:rPr>
                <w:rFonts w:ascii="Arial" w:eastAsia="Arial" w:hAnsi="Arial" w:cs="Arial"/>
                <w:color w:val="000000" w:themeColor="text1"/>
                <w:sz w:val="22"/>
                <w:szCs w:val="22"/>
              </w:rPr>
              <w:t>For the facilitators, this exercise serves to test and validate the research that has been conducted on the role of meso-level organizations in planned adaptation. We anticipate that some of the participants are likely working as meso-level actors in climate change adaptation and thus will have key insights into whether this approach is useful for their own thinking and organizations and whether the exercise could evolve into a self-assessment “game” or tool to enable more effective and transformative adapt</w:t>
            </w:r>
            <w:r w:rsidRPr="00F922FD">
              <w:rPr>
                <w:rFonts w:ascii="Arial" w:eastAsia="Arial" w:hAnsi="Arial" w:cs="Arial"/>
                <w:color w:val="000000" w:themeColor="text1"/>
                <w:sz w:val="22"/>
                <w:szCs w:val="22"/>
              </w:rPr>
              <w:t>ation.</w:t>
            </w:r>
          </w:p>
          <w:p w14:paraId="0CB9B5B3" w14:textId="77777777" w:rsidR="00DC42D0" w:rsidRPr="00F922FD" w:rsidRDefault="00DC42D0">
            <w:pPr>
              <w:rPr>
                <w:rFonts w:ascii="Arial" w:eastAsia="Arial" w:hAnsi="Arial" w:cs="Arial"/>
                <w:color w:val="000000" w:themeColor="text1"/>
                <w:sz w:val="22"/>
                <w:szCs w:val="22"/>
              </w:rPr>
            </w:pPr>
          </w:p>
        </w:tc>
      </w:tr>
      <w:tr w:rsidR="00DC42D0" w14:paraId="2334DBD1" w14:textId="77777777">
        <w:trPr>
          <w:trHeight w:val="576"/>
        </w:trPr>
        <w:tc>
          <w:tcPr>
            <w:tcW w:w="8640" w:type="dxa"/>
          </w:tcPr>
          <w:p w14:paraId="7D52391E" w14:textId="77777777" w:rsidR="00DC42D0" w:rsidRDefault="00A67E0C">
            <w:pPr>
              <w:jc w:val="both"/>
              <w:rPr>
                <w:rFonts w:ascii="Arial" w:eastAsia="Arial" w:hAnsi="Arial" w:cs="Arial"/>
                <w:b/>
                <w:sz w:val="22"/>
                <w:szCs w:val="22"/>
              </w:rPr>
            </w:pPr>
            <w:r>
              <w:rPr>
                <w:rFonts w:ascii="Arial" w:eastAsia="Arial" w:hAnsi="Arial" w:cs="Arial"/>
                <w:b/>
                <w:sz w:val="22"/>
                <w:szCs w:val="22"/>
              </w:rPr>
              <w:lastRenderedPageBreak/>
              <w:t>PARTICIPANTS</w:t>
            </w:r>
          </w:p>
          <w:p w14:paraId="56663107" w14:textId="77777777" w:rsidR="00DC42D0" w:rsidRDefault="00DC42D0">
            <w:pPr>
              <w:jc w:val="both"/>
              <w:rPr>
                <w:rFonts w:ascii="Arial" w:eastAsia="Arial" w:hAnsi="Arial" w:cs="Arial"/>
                <w:b/>
                <w:sz w:val="22"/>
                <w:szCs w:val="22"/>
              </w:rPr>
            </w:pPr>
          </w:p>
          <w:p w14:paraId="2973C092"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1</w:t>
            </w:r>
          </w:p>
          <w:p w14:paraId="58AF7183" w14:textId="77777777" w:rsidR="00DC42D0" w:rsidRDefault="00A67E0C">
            <w:pPr>
              <w:jc w:val="both"/>
              <w:rPr>
                <w:rFonts w:ascii="Arial" w:eastAsia="Arial" w:hAnsi="Arial" w:cs="Arial"/>
                <w:color w:val="0000FF"/>
                <w:sz w:val="22"/>
                <w:szCs w:val="22"/>
              </w:rPr>
            </w:pPr>
            <w:r>
              <w:rPr>
                <w:rFonts w:ascii="Arial" w:eastAsia="Arial" w:hAnsi="Arial" w:cs="Arial"/>
                <w:b/>
                <w:sz w:val="22"/>
                <w:szCs w:val="22"/>
              </w:rPr>
              <w:t xml:space="preserve">Full Name: </w:t>
            </w:r>
            <w:r>
              <w:rPr>
                <w:rFonts w:ascii="Arial" w:eastAsia="Arial" w:hAnsi="Arial" w:cs="Arial"/>
                <w:color w:val="0000FF"/>
                <w:sz w:val="22"/>
                <w:szCs w:val="22"/>
              </w:rPr>
              <w:t>Hallie Eakin</w:t>
            </w:r>
          </w:p>
          <w:p w14:paraId="5DA28B93" w14:textId="77777777" w:rsidR="00DC42D0" w:rsidRDefault="00A67E0C">
            <w:pPr>
              <w:jc w:val="both"/>
              <w:rPr>
                <w:rFonts w:ascii="Arial" w:eastAsia="Arial" w:hAnsi="Arial" w:cs="Arial"/>
                <w:color w:val="0000FF"/>
                <w:sz w:val="22"/>
                <w:szCs w:val="22"/>
              </w:rPr>
            </w:pPr>
            <w:r>
              <w:rPr>
                <w:rFonts w:ascii="Arial" w:eastAsia="Arial" w:hAnsi="Arial" w:cs="Arial"/>
                <w:b/>
                <w:sz w:val="22"/>
                <w:szCs w:val="22"/>
              </w:rPr>
              <w:t xml:space="preserve">Organisation: </w:t>
            </w:r>
            <w:r>
              <w:rPr>
                <w:rFonts w:ascii="Arial" w:eastAsia="Arial" w:hAnsi="Arial" w:cs="Arial"/>
                <w:color w:val="0000FF"/>
                <w:sz w:val="22"/>
                <w:szCs w:val="22"/>
              </w:rPr>
              <w:t>Arizona State University</w:t>
            </w:r>
          </w:p>
          <w:p w14:paraId="3FD17034" w14:textId="2909F974" w:rsidR="00DC42D0" w:rsidRDefault="00A67E0C">
            <w:pPr>
              <w:jc w:val="both"/>
              <w:rPr>
                <w:rFonts w:ascii="Arial" w:eastAsia="Arial" w:hAnsi="Arial" w:cs="Arial"/>
                <w:b/>
                <w:sz w:val="22"/>
                <w:szCs w:val="22"/>
              </w:rPr>
            </w:pPr>
            <w:r>
              <w:rPr>
                <w:rFonts w:ascii="Arial" w:eastAsia="Arial" w:hAnsi="Arial" w:cs="Arial"/>
                <w:b/>
                <w:sz w:val="22"/>
                <w:szCs w:val="22"/>
              </w:rPr>
              <w:t>Bio</w:t>
            </w:r>
            <w:r w:rsidR="00E83831">
              <w:rPr>
                <w:rFonts w:ascii="Arial" w:eastAsia="Arial" w:hAnsi="Arial" w:cs="Arial"/>
                <w:b/>
                <w:sz w:val="22"/>
                <w:szCs w:val="22"/>
              </w:rPr>
              <w:t>:</w:t>
            </w:r>
          </w:p>
          <w:p w14:paraId="60CA40A6" w14:textId="77777777" w:rsidR="00DC42D0" w:rsidRDefault="00A67E0C">
            <w:pPr>
              <w:jc w:val="both"/>
              <w:rPr>
                <w:rFonts w:ascii="Arial" w:eastAsia="Arial" w:hAnsi="Arial" w:cs="Arial"/>
                <w:color w:val="0000FF"/>
                <w:sz w:val="22"/>
                <w:szCs w:val="22"/>
              </w:rPr>
            </w:pPr>
            <w:r>
              <w:rPr>
                <w:rFonts w:ascii="Arial" w:eastAsia="Arial" w:hAnsi="Arial" w:cs="Arial"/>
                <w:sz w:val="22"/>
                <w:szCs w:val="22"/>
              </w:rPr>
              <w:t xml:space="preserve">Hallie researches the roles, responsibilities and relationships among actors in rural and urban adaptation governance. She collaborates extensively with colleagues in Mexico, Central America, South Africa, and Canada in her exploration of the political economy of adaptation and the determinants of more transformative adaptive capacity. </w:t>
            </w:r>
          </w:p>
          <w:p w14:paraId="220D4801" w14:textId="77777777" w:rsidR="00DC42D0" w:rsidRDefault="00DC42D0">
            <w:pPr>
              <w:jc w:val="both"/>
              <w:rPr>
                <w:rFonts w:ascii="Arial" w:eastAsia="Arial" w:hAnsi="Arial" w:cs="Arial"/>
                <w:sz w:val="22"/>
                <w:szCs w:val="22"/>
              </w:rPr>
            </w:pPr>
          </w:p>
          <w:p w14:paraId="729004E9" w14:textId="77777777" w:rsidR="00DC42D0" w:rsidRDefault="00A67E0C">
            <w:pPr>
              <w:jc w:val="both"/>
              <w:rPr>
                <w:rFonts w:ascii="Arial" w:eastAsia="Arial" w:hAnsi="Arial" w:cs="Arial"/>
                <w:sz w:val="22"/>
                <w:szCs w:val="22"/>
              </w:rPr>
            </w:pPr>
            <w:r>
              <w:rPr>
                <w:rFonts w:ascii="Arial" w:eastAsia="Arial" w:hAnsi="Arial" w:cs="Arial"/>
                <w:b/>
                <w:sz w:val="22"/>
                <w:szCs w:val="22"/>
              </w:rPr>
              <w:t xml:space="preserve">Participant 1 Contribution: </w:t>
            </w:r>
          </w:p>
          <w:p w14:paraId="1A19417A" w14:textId="77777777" w:rsidR="00DC42D0" w:rsidRDefault="00A67E0C">
            <w:pPr>
              <w:jc w:val="both"/>
              <w:rPr>
                <w:rFonts w:ascii="Arial" w:eastAsia="Arial" w:hAnsi="Arial" w:cs="Arial"/>
                <w:sz w:val="22"/>
                <w:szCs w:val="22"/>
              </w:rPr>
            </w:pPr>
            <w:r>
              <w:rPr>
                <w:rFonts w:ascii="Arial" w:eastAsia="Arial" w:hAnsi="Arial" w:cs="Arial"/>
                <w:sz w:val="22"/>
                <w:szCs w:val="22"/>
              </w:rPr>
              <w:t>Session coordinator and main facilitator</w:t>
            </w:r>
          </w:p>
          <w:p w14:paraId="55F1AF46" w14:textId="77777777" w:rsidR="00DC42D0" w:rsidRDefault="00DC42D0">
            <w:pPr>
              <w:jc w:val="both"/>
              <w:rPr>
                <w:rFonts w:ascii="Arial" w:eastAsia="Arial" w:hAnsi="Arial" w:cs="Arial"/>
                <w:sz w:val="22"/>
                <w:szCs w:val="22"/>
              </w:rPr>
            </w:pPr>
          </w:p>
          <w:p w14:paraId="33DDF4FC"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2</w:t>
            </w:r>
          </w:p>
          <w:p w14:paraId="650C383E" w14:textId="77777777" w:rsidR="00DC42D0" w:rsidRDefault="00A67E0C">
            <w:pPr>
              <w:jc w:val="both"/>
              <w:rPr>
                <w:rFonts w:ascii="Arial" w:eastAsia="Arial" w:hAnsi="Arial" w:cs="Arial"/>
                <w:b/>
                <w:color w:val="0000FF"/>
                <w:sz w:val="22"/>
                <w:szCs w:val="22"/>
              </w:rPr>
            </w:pPr>
            <w:r>
              <w:rPr>
                <w:rFonts w:ascii="Arial" w:eastAsia="Arial" w:hAnsi="Arial" w:cs="Arial"/>
                <w:b/>
                <w:sz w:val="22"/>
                <w:szCs w:val="22"/>
              </w:rPr>
              <w:t>Full Name:</w:t>
            </w:r>
            <w:r>
              <w:rPr>
                <w:rFonts w:ascii="Arial" w:eastAsia="Arial" w:hAnsi="Arial" w:cs="Arial"/>
                <w:sz w:val="22"/>
                <w:szCs w:val="22"/>
              </w:rPr>
              <w:t xml:space="preserve"> </w:t>
            </w:r>
            <w:r>
              <w:rPr>
                <w:rFonts w:ascii="Arial" w:eastAsia="Arial" w:hAnsi="Arial" w:cs="Arial"/>
                <w:color w:val="0000FF"/>
                <w:sz w:val="22"/>
                <w:szCs w:val="22"/>
              </w:rPr>
              <w:t>Nadine Methner</w:t>
            </w:r>
          </w:p>
          <w:p w14:paraId="20D6946B" w14:textId="77777777" w:rsidR="00DC42D0" w:rsidRDefault="00A67E0C">
            <w:pPr>
              <w:jc w:val="both"/>
              <w:rPr>
                <w:rFonts w:ascii="Roboto" w:eastAsia="Roboto" w:hAnsi="Roboto" w:cs="Roboto"/>
                <w:sz w:val="22"/>
                <w:szCs w:val="22"/>
              </w:rPr>
            </w:pPr>
            <w:r>
              <w:rPr>
                <w:rFonts w:ascii="Arial" w:eastAsia="Arial" w:hAnsi="Arial" w:cs="Arial"/>
                <w:b/>
                <w:sz w:val="22"/>
                <w:szCs w:val="22"/>
              </w:rPr>
              <w:t xml:space="preserve">Organisation: </w:t>
            </w:r>
            <w:r>
              <w:rPr>
                <w:rFonts w:ascii="Roboto" w:eastAsia="Roboto" w:hAnsi="Roboto" w:cs="Roboto"/>
                <w:sz w:val="22"/>
                <w:szCs w:val="22"/>
              </w:rPr>
              <w:t>African Climate and Development Initiative, University of Cape Town</w:t>
            </w:r>
          </w:p>
          <w:p w14:paraId="58BAA1CC" w14:textId="45E4E40A" w:rsidR="00DC42D0" w:rsidRDefault="00A67E0C">
            <w:pPr>
              <w:jc w:val="both"/>
              <w:rPr>
                <w:rFonts w:ascii="Arial" w:eastAsia="Arial" w:hAnsi="Arial" w:cs="Arial"/>
                <w:b/>
                <w:sz w:val="22"/>
                <w:szCs w:val="22"/>
              </w:rPr>
            </w:pPr>
            <w:r>
              <w:rPr>
                <w:rFonts w:ascii="Arial" w:eastAsia="Arial" w:hAnsi="Arial" w:cs="Arial"/>
                <w:b/>
                <w:sz w:val="22"/>
                <w:szCs w:val="22"/>
              </w:rPr>
              <w:t>Bio</w:t>
            </w:r>
            <w:r w:rsidR="00E83831">
              <w:rPr>
                <w:rFonts w:ascii="Arial" w:eastAsia="Arial" w:hAnsi="Arial" w:cs="Arial"/>
                <w:b/>
                <w:sz w:val="22"/>
                <w:szCs w:val="22"/>
              </w:rPr>
              <w:t>:</w:t>
            </w:r>
          </w:p>
          <w:p w14:paraId="0ADDE282" w14:textId="77777777" w:rsidR="00DC42D0" w:rsidRDefault="00A67E0C">
            <w:pPr>
              <w:jc w:val="both"/>
              <w:rPr>
                <w:rFonts w:ascii="Arial" w:eastAsia="Arial" w:hAnsi="Arial" w:cs="Arial"/>
                <w:sz w:val="22"/>
                <w:szCs w:val="22"/>
              </w:rPr>
            </w:pPr>
            <w:r>
              <w:rPr>
                <w:rFonts w:ascii="Arial" w:eastAsia="Arial" w:hAnsi="Arial" w:cs="Arial"/>
                <w:sz w:val="22"/>
                <w:szCs w:val="22"/>
              </w:rPr>
              <w:t xml:space="preserve">Nadine is a Research Officer at the ACDI where she has successfully managed several complex, interdisciplinary research projects at the interface of climate change adaptation and sustainable development. Nadine’s work focuses on building partnerships and fostering knowledge co-production to advance effective and equitable climate change adaptation across Africa. </w:t>
            </w:r>
          </w:p>
          <w:p w14:paraId="7D474F11" w14:textId="77777777" w:rsidR="00DC42D0" w:rsidRDefault="00DC42D0">
            <w:pPr>
              <w:jc w:val="both"/>
              <w:rPr>
                <w:rFonts w:ascii="Arial" w:eastAsia="Arial" w:hAnsi="Arial" w:cs="Arial"/>
                <w:sz w:val="22"/>
                <w:szCs w:val="22"/>
              </w:rPr>
            </w:pPr>
          </w:p>
          <w:p w14:paraId="33B14812" w14:textId="77777777" w:rsidR="00DC42D0" w:rsidRDefault="00A67E0C">
            <w:pPr>
              <w:jc w:val="both"/>
              <w:rPr>
                <w:rFonts w:ascii="Arial" w:eastAsia="Arial" w:hAnsi="Arial" w:cs="Arial"/>
                <w:sz w:val="22"/>
                <w:szCs w:val="22"/>
              </w:rPr>
            </w:pPr>
            <w:r w:rsidRPr="00DB36E2">
              <w:rPr>
                <w:rFonts w:ascii="Arial" w:eastAsia="Arial" w:hAnsi="Arial" w:cs="Arial"/>
                <w:b/>
                <w:sz w:val="22"/>
                <w:szCs w:val="22"/>
              </w:rPr>
              <w:t xml:space="preserve">Participant 2 Contribution: </w:t>
            </w:r>
          </w:p>
          <w:p w14:paraId="3326AEFC" w14:textId="77777777" w:rsidR="00DC42D0" w:rsidRDefault="00A67E0C">
            <w:pPr>
              <w:jc w:val="both"/>
              <w:rPr>
                <w:rFonts w:ascii="Arial" w:eastAsia="Arial" w:hAnsi="Arial" w:cs="Arial"/>
                <w:sz w:val="22"/>
                <w:szCs w:val="22"/>
              </w:rPr>
            </w:pPr>
            <w:r>
              <w:rPr>
                <w:rFonts w:ascii="Arial" w:eastAsia="Arial" w:hAnsi="Arial" w:cs="Arial"/>
                <w:sz w:val="22"/>
                <w:szCs w:val="22"/>
              </w:rPr>
              <w:t>Session coordinator and table facilitator</w:t>
            </w:r>
          </w:p>
          <w:p w14:paraId="6E13C838" w14:textId="77777777" w:rsidR="00DC42D0" w:rsidRDefault="00DC42D0">
            <w:pPr>
              <w:jc w:val="both"/>
              <w:rPr>
                <w:rFonts w:ascii="Arial" w:eastAsia="Arial" w:hAnsi="Arial" w:cs="Arial"/>
                <w:sz w:val="22"/>
                <w:szCs w:val="22"/>
              </w:rPr>
            </w:pPr>
          </w:p>
          <w:p w14:paraId="07F501E9"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3</w:t>
            </w:r>
          </w:p>
          <w:p w14:paraId="5D56FAF8" w14:textId="77777777" w:rsidR="00DC42D0" w:rsidRDefault="00A67E0C">
            <w:pPr>
              <w:jc w:val="both"/>
              <w:rPr>
                <w:rFonts w:ascii="Arial" w:eastAsia="Arial" w:hAnsi="Arial" w:cs="Arial"/>
                <w:b/>
                <w:sz w:val="22"/>
                <w:szCs w:val="22"/>
              </w:rPr>
            </w:pPr>
            <w:r>
              <w:rPr>
                <w:rFonts w:ascii="Arial" w:eastAsia="Arial" w:hAnsi="Arial" w:cs="Arial"/>
                <w:b/>
                <w:sz w:val="22"/>
                <w:szCs w:val="22"/>
              </w:rPr>
              <w:t>Full Name: Eric Welch</w:t>
            </w:r>
          </w:p>
          <w:p w14:paraId="6CE6E631" w14:textId="77777777" w:rsidR="00DC42D0" w:rsidRDefault="00A67E0C">
            <w:pPr>
              <w:jc w:val="both"/>
              <w:rPr>
                <w:rFonts w:ascii="Arial" w:eastAsia="Arial" w:hAnsi="Arial" w:cs="Arial"/>
                <w:b/>
                <w:sz w:val="22"/>
                <w:szCs w:val="22"/>
              </w:rPr>
            </w:pPr>
            <w:r>
              <w:rPr>
                <w:rFonts w:ascii="Arial" w:eastAsia="Arial" w:hAnsi="Arial" w:cs="Arial"/>
                <w:b/>
                <w:sz w:val="22"/>
                <w:szCs w:val="22"/>
              </w:rPr>
              <w:t>Organisation: Arizona State University</w:t>
            </w:r>
          </w:p>
          <w:p w14:paraId="0504BAE1" w14:textId="7EEFD461" w:rsidR="00DC42D0" w:rsidRDefault="00A67E0C">
            <w:pPr>
              <w:jc w:val="both"/>
              <w:rPr>
                <w:rFonts w:ascii="Arial" w:eastAsia="Arial" w:hAnsi="Arial" w:cs="Arial"/>
                <w:b/>
                <w:sz w:val="22"/>
                <w:szCs w:val="22"/>
              </w:rPr>
            </w:pPr>
            <w:r>
              <w:rPr>
                <w:rFonts w:ascii="Arial" w:eastAsia="Arial" w:hAnsi="Arial" w:cs="Arial"/>
                <w:b/>
                <w:sz w:val="22"/>
                <w:szCs w:val="22"/>
              </w:rPr>
              <w:t>Bio</w:t>
            </w:r>
            <w:r w:rsidR="00E83831">
              <w:rPr>
                <w:rFonts w:ascii="Arial" w:eastAsia="Arial" w:hAnsi="Arial" w:cs="Arial"/>
                <w:b/>
                <w:sz w:val="22"/>
                <w:szCs w:val="22"/>
              </w:rPr>
              <w:t>:</w:t>
            </w:r>
          </w:p>
          <w:p w14:paraId="2181FD37" w14:textId="77777777" w:rsidR="00DC42D0" w:rsidRDefault="00A67E0C">
            <w:pPr>
              <w:jc w:val="both"/>
              <w:rPr>
                <w:rFonts w:ascii="Arial" w:eastAsia="Arial" w:hAnsi="Arial" w:cs="Arial"/>
                <w:sz w:val="22"/>
                <w:szCs w:val="22"/>
              </w:rPr>
            </w:pPr>
            <w:r>
              <w:rPr>
                <w:rFonts w:ascii="Arial" w:eastAsia="Arial" w:hAnsi="Arial" w:cs="Arial"/>
                <w:color w:val="191919"/>
                <w:sz w:val="24"/>
                <w:szCs w:val="24"/>
                <w:highlight w:val="white"/>
              </w:rPr>
              <w:t>Eric Welch focuses on science and technology in development policy. He leads an international team researching the role of meso-level organizations forwarding climate change adaptation in Sub Saharan Africa. He is also currently collaborating with researchers at CIRAD France and UN FAO on advancing science policy interfaces for agrifood systems.</w:t>
            </w:r>
          </w:p>
          <w:p w14:paraId="12DBF8A8" w14:textId="77777777" w:rsidR="00DC42D0" w:rsidRDefault="00DC42D0">
            <w:pPr>
              <w:jc w:val="both"/>
              <w:rPr>
                <w:rFonts w:ascii="Arial" w:eastAsia="Arial" w:hAnsi="Arial" w:cs="Arial"/>
                <w:sz w:val="22"/>
                <w:szCs w:val="22"/>
              </w:rPr>
            </w:pPr>
          </w:p>
          <w:p w14:paraId="1BDEF80F"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Participant 3 Contribution: </w:t>
            </w:r>
          </w:p>
          <w:p w14:paraId="158C2A83" w14:textId="5678EF43" w:rsidR="00DB36E2" w:rsidRDefault="00DB36E2" w:rsidP="00DB36E2">
            <w:pPr>
              <w:jc w:val="both"/>
              <w:rPr>
                <w:rFonts w:ascii="Arial" w:eastAsia="Arial" w:hAnsi="Arial" w:cs="Arial"/>
                <w:sz w:val="22"/>
                <w:szCs w:val="22"/>
              </w:rPr>
            </w:pPr>
            <w:r>
              <w:rPr>
                <w:rFonts w:ascii="Arial" w:eastAsia="Arial" w:hAnsi="Arial" w:cs="Arial"/>
                <w:sz w:val="22"/>
                <w:szCs w:val="22"/>
              </w:rPr>
              <w:t>Table facilitator</w:t>
            </w:r>
          </w:p>
          <w:p w14:paraId="53DF25AC" w14:textId="77777777" w:rsidR="00DC42D0" w:rsidRDefault="00DC42D0">
            <w:pPr>
              <w:jc w:val="both"/>
              <w:rPr>
                <w:rFonts w:ascii="Arial" w:eastAsia="Arial" w:hAnsi="Arial" w:cs="Arial"/>
                <w:sz w:val="22"/>
                <w:szCs w:val="22"/>
              </w:rPr>
            </w:pPr>
          </w:p>
          <w:p w14:paraId="32B5299A"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4</w:t>
            </w:r>
          </w:p>
          <w:p w14:paraId="6B09C4EC" w14:textId="77777777" w:rsidR="00DC42D0" w:rsidRDefault="00A67E0C">
            <w:pPr>
              <w:jc w:val="both"/>
              <w:rPr>
                <w:rFonts w:ascii="Arial" w:eastAsia="Arial" w:hAnsi="Arial" w:cs="Arial"/>
                <w:b/>
                <w:sz w:val="22"/>
                <w:szCs w:val="22"/>
              </w:rPr>
            </w:pPr>
            <w:r>
              <w:rPr>
                <w:rFonts w:ascii="Arial" w:eastAsia="Arial" w:hAnsi="Arial" w:cs="Arial"/>
                <w:b/>
                <w:sz w:val="22"/>
                <w:szCs w:val="22"/>
              </w:rPr>
              <w:lastRenderedPageBreak/>
              <w:t>Full Name: Darlington Sibanda</w:t>
            </w:r>
          </w:p>
          <w:p w14:paraId="70D4729D"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Organisation: African Climate &amp; Development Initiative, University of Cape Town </w:t>
            </w:r>
          </w:p>
          <w:p w14:paraId="5F934BF5" w14:textId="7D448F8E" w:rsidR="00DC42D0" w:rsidRDefault="00A67E0C">
            <w:pPr>
              <w:jc w:val="both"/>
              <w:rPr>
                <w:rFonts w:ascii="Arial" w:eastAsia="Arial" w:hAnsi="Arial" w:cs="Arial"/>
                <w:b/>
                <w:sz w:val="22"/>
                <w:szCs w:val="22"/>
              </w:rPr>
            </w:pPr>
            <w:r>
              <w:rPr>
                <w:rFonts w:ascii="Arial" w:eastAsia="Arial" w:hAnsi="Arial" w:cs="Arial"/>
                <w:b/>
                <w:sz w:val="22"/>
                <w:szCs w:val="22"/>
              </w:rPr>
              <w:t>Bi</w:t>
            </w:r>
            <w:r w:rsidR="00A917A7">
              <w:rPr>
                <w:rFonts w:ascii="Arial" w:eastAsia="Arial" w:hAnsi="Arial" w:cs="Arial"/>
                <w:b/>
                <w:sz w:val="22"/>
                <w:szCs w:val="22"/>
              </w:rPr>
              <w:t>o</w:t>
            </w:r>
            <w:r w:rsidR="00E83831">
              <w:rPr>
                <w:rFonts w:ascii="Arial" w:eastAsia="Arial" w:hAnsi="Arial" w:cs="Arial"/>
                <w:b/>
                <w:sz w:val="22"/>
                <w:szCs w:val="22"/>
              </w:rPr>
              <w:t>:</w:t>
            </w:r>
          </w:p>
          <w:p w14:paraId="30D5EA4B" w14:textId="77777777" w:rsidR="00DC42D0" w:rsidRDefault="00A67E0C">
            <w:pPr>
              <w:jc w:val="both"/>
              <w:rPr>
                <w:rFonts w:ascii="Arial" w:eastAsia="Arial" w:hAnsi="Arial" w:cs="Arial"/>
                <w:sz w:val="22"/>
                <w:szCs w:val="22"/>
              </w:rPr>
            </w:pPr>
            <w:r>
              <w:rPr>
                <w:rFonts w:ascii="Arial" w:eastAsia="Arial" w:hAnsi="Arial" w:cs="Arial"/>
                <w:sz w:val="22"/>
                <w:szCs w:val="22"/>
              </w:rPr>
              <w:t>Darlington is an experienced climate adaptation and development researcher with over 15 years of working with communities to build resilience reduce poverty. He explores innovative strategies to enhance resilience in vulnerable communities and natural systems. This includes tracking and assessment of climate actions, promotion of transformative and equitable solutions that balance environmental sustainability and development</w:t>
            </w:r>
          </w:p>
          <w:p w14:paraId="198A157E" w14:textId="77777777" w:rsidR="00DC42D0" w:rsidRDefault="00DC42D0">
            <w:pPr>
              <w:jc w:val="both"/>
              <w:rPr>
                <w:rFonts w:ascii="Arial" w:eastAsia="Arial" w:hAnsi="Arial" w:cs="Arial"/>
                <w:sz w:val="22"/>
                <w:szCs w:val="22"/>
              </w:rPr>
            </w:pPr>
          </w:p>
          <w:p w14:paraId="616738DF"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Participant 4 Contribution: </w:t>
            </w:r>
          </w:p>
          <w:p w14:paraId="4FFDA265" w14:textId="77777777" w:rsidR="00DC42D0" w:rsidRPr="00DB36E2" w:rsidRDefault="00A67E0C">
            <w:pPr>
              <w:jc w:val="both"/>
              <w:rPr>
                <w:rFonts w:ascii="Arial" w:eastAsia="Arial" w:hAnsi="Arial" w:cs="Arial"/>
                <w:bCs/>
                <w:sz w:val="22"/>
                <w:szCs w:val="22"/>
              </w:rPr>
            </w:pPr>
            <w:r w:rsidRPr="00DB36E2">
              <w:rPr>
                <w:rFonts w:ascii="Arial" w:eastAsia="Arial" w:hAnsi="Arial" w:cs="Arial"/>
                <w:bCs/>
                <w:sz w:val="22"/>
                <w:szCs w:val="22"/>
              </w:rPr>
              <w:t>Table Facilitator</w:t>
            </w:r>
          </w:p>
          <w:p w14:paraId="09C241F3" w14:textId="77777777" w:rsidR="00DC42D0" w:rsidRDefault="00DC42D0">
            <w:pPr>
              <w:jc w:val="both"/>
              <w:rPr>
                <w:rFonts w:ascii="Arial" w:eastAsia="Arial" w:hAnsi="Arial" w:cs="Arial"/>
                <w:sz w:val="22"/>
                <w:szCs w:val="22"/>
              </w:rPr>
            </w:pPr>
          </w:p>
          <w:p w14:paraId="7C68CADC"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5</w:t>
            </w:r>
          </w:p>
          <w:p w14:paraId="5B3B53FB" w14:textId="77777777" w:rsidR="00DC42D0" w:rsidRDefault="00A67E0C">
            <w:pPr>
              <w:jc w:val="both"/>
              <w:rPr>
                <w:rFonts w:ascii="Arial" w:eastAsia="Arial" w:hAnsi="Arial" w:cs="Arial"/>
                <w:b/>
                <w:sz w:val="22"/>
                <w:szCs w:val="22"/>
              </w:rPr>
            </w:pPr>
            <w:r>
              <w:rPr>
                <w:rFonts w:ascii="Arial" w:eastAsia="Arial" w:hAnsi="Arial" w:cs="Arial"/>
                <w:b/>
                <w:sz w:val="22"/>
                <w:szCs w:val="22"/>
              </w:rPr>
              <w:t>Full Name: Ekua Odoom</w:t>
            </w:r>
          </w:p>
          <w:p w14:paraId="0E1199FB"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Organisation: African Climate &amp; Development Initiative, University of Cape Town </w:t>
            </w:r>
          </w:p>
          <w:p w14:paraId="544CE4D6" w14:textId="705BE677" w:rsidR="00DC42D0" w:rsidRDefault="00A67E0C">
            <w:pPr>
              <w:jc w:val="both"/>
              <w:rPr>
                <w:rFonts w:ascii="Arial" w:eastAsia="Arial" w:hAnsi="Arial" w:cs="Arial"/>
                <w:b/>
                <w:sz w:val="22"/>
                <w:szCs w:val="22"/>
              </w:rPr>
            </w:pPr>
            <w:r>
              <w:rPr>
                <w:rFonts w:ascii="Arial" w:eastAsia="Arial" w:hAnsi="Arial" w:cs="Arial"/>
                <w:b/>
                <w:sz w:val="22"/>
                <w:szCs w:val="22"/>
              </w:rPr>
              <w:t>Bio</w:t>
            </w:r>
            <w:r w:rsidR="00E83831">
              <w:rPr>
                <w:rFonts w:ascii="Arial" w:eastAsia="Arial" w:hAnsi="Arial" w:cs="Arial"/>
                <w:b/>
                <w:sz w:val="22"/>
                <w:szCs w:val="22"/>
              </w:rPr>
              <w:t>:</w:t>
            </w:r>
          </w:p>
          <w:p w14:paraId="24F3B77E" w14:textId="77777777" w:rsidR="00DC42D0" w:rsidRDefault="00A67E0C" w:rsidP="00E83831">
            <w:pPr>
              <w:rPr>
                <w:rFonts w:ascii="Arial" w:eastAsia="Arial" w:hAnsi="Arial" w:cs="Arial"/>
                <w:sz w:val="22"/>
                <w:szCs w:val="22"/>
              </w:rPr>
            </w:pPr>
            <w:r>
              <w:rPr>
                <w:rFonts w:ascii="Arial" w:eastAsia="Arial" w:hAnsi="Arial" w:cs="Arial"/>
                <w:sz w:val="22"/>
                <w:szCs w:val="22"/>
              </w:rPr>
              <w:t>Dr Odoom has a PhD in Environmental Science and is currently a Postdoctoral Research Fellow with the African Climate and Development Initiative (ACDI) at University of Cape Town. Dr Odoom has expertise in Climate Smart Agriculture, sustainability science, green financing and natural resource management</w:t>
            </w:r>
            <w:r>
              <w:rPr>
                <w:rFonts w:ascii="Arial" w:eastAsia="Arial" w:hAnsi="Arial" w:cs="Arial"/>
                <w:sz w:val="24"/>
                <w:szCs w:val="24"/>
              </w:rPr>
              <w:t>.</w:t>
            </w:r>
          </w:p>
          <w:p w14:paraId="34D316C5" w14:textId="77777777" w:rsidR="00DC42D0" w:rsidRDefault="00DC42D0">
            <w:pPr>
              <w:jc w:val="both"/>
              <w:rPr>
                <w:rFonts w:ascii="Arial" w:eastAsia="Arial" w:hAnsi="Arial" w:cs="Arial"/>
                <w:sz w:val="22"/>
                <w:szCs w:val="22"/>
              </w:rPr>
            </w:pPr>
          </w:p>
          <w:p w14:paraId="7C398B9C"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Participant 5 Contribution: </w:t>
            </w:r>
          </w:p>
          <w:p w14:paraId="46ADCE7E" w14:textId="77777777" w:rsidR="00DC42D0" w:rsidRDefault="00A67E0C">
            <w:pPr>
              <w:jc w:val="both"/>
              <w:rPr>
                <w:rFonts w:ascii="Arial" w:eastAsia="Arial" w:hAnsi="Arial" w:cs="Arial"/>
                <w:b/>
                <w:sz w:val="22"/>
                <w:szCs w:val="22"/>
              </w:rPr>
            </w:pPr>
            <w:r>
              <w:rPr>
                <w:rFonts w:ascii="Arial" w:eastAsia="Arial" w:hAnsi="Arial" w:cs="Arial"/>
                <w:b/>
                <w:sz w:val="22"/>
                <w:szCs w:val="22"/>
              </w:rPr>
              <w:t>Table Facilitator</w:t>
            </w:r>
          </w:p>
          <w:p w14:paraId="14D78421" w14:textId="77777777" w:rsidR="00DC42D0" w:rsidRDefault="00DC42D0">
            <w:pPr>
              <w:jc w:val="both"/>
              <w:rPr>
                <w:rFonts w:ascii="Arial" w:eastAsia="Arial" w:hAnsi="Arial" w:cs="Arial"/>
                <w:b/>
                <w:sz w:val="22"/>
                <w:szCs w:val="22"/>
              </w:rPr>
            </w:pPr>
          </w:p>
          <w:p w14:paraId="2AF49CFD"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6</w:t>
            </w:r>
          </w:p>
          <w:p w14:paraId="053755D4" w14:textId="77777777" w:rsidR="00DC42D0" w:rsidRDefault="00A67E0C">
            <w:pPr>
              <w:jc w:val="both"/>
              <w:rPr>
                <w:rFonts w:ascii="Arial" w:eastAsia="Arial" w:hAnsi="Arial" w:cs="Arial"/>
                <w:b/>
                <w:sz w:val="22"/>
                <w:szCs w:val="22"/>
              </w:rPr>
            </w:pPr>
            <w:r>
              <w:rPr>
                <w:rFonts w:ascii="Arial" w:eastAsia="Arial" w:hAnsi="Arial" w:cs="Arial"/>
                <w:b/>
                <w:sz w:val="22"/>
                <w:szCs w:val="22"/>
              </w:rPr>
              <w:t>Full Name: Mark New</w:t>
            </w:r>
          </w:p>
          <w:p w14:paraId="36E4572B"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Organisation: African Climate &amp; Development Initiative, University of Cape Town </w:t>
            </w:r>
          </w:p>
          <w:p w14:paraId="0564216F" w14:textId="77777777" w:rsidR="00E83831" w:rsidRDefault="00A67E0C" w:rsidP="00E83831">
            <w:pPr>
              <w:jc w:val="both"/>
              <w:rPr>
                <w:rFonts w:ascii="Arial" w:eastAsia="Arial" w:hAnsi="Arial" w:cs="Arial"/>
                <w:b/>
                <w:sz w:val="22"/>
                <w:szCs w:val="22"/>
              </w:rPr>
            </w:pPr>
            <w:r>
              <w:rPr>
                <w:rFonts w:ascii="Arial" w:eastAsia="Arial" w:hAnsi="Arial" w:cs="Arial"/>
                <w:b/>
                <w:sz w:val="22"/>
                <w:szCs w:val="22"/>
              </w:rPr>
              <w:t>Bio</w:t>
            </w:r>
            <w:r w:rsidR="00E83831">
              <w:rPr>
                <w:rFonts w:ascii="Arial" w:eastAsia="Arial" w:hAnsi="Arial" w:cs="Arial"/>
                <w:b/>
                <w:sz w:val="22"/>
                <w:szCs w:val="22"/>
              </w:rPr>
              <w:t>:</w:t>
            </w:r>
          </w:p>
          <w:p w14:paraId="4A4A1056" w14:textId="251A84C4" w:rsidR="00DC42D0" w:rsidRDefault="00A67E0C" w:rsidP="00E83831">
            <w:pPr>
              <w:jc w:val="both"/>
              <w:rPr>
                <w:rFonts w:ascii="Arial" w:eastAsia="Arial" w:hAnsi="Arial" w:cs="Arial"/>
                <w:sz w:val="22"/>
                <w:szCs w:val="22"/>
              </w:rPr>
            </w:pPr>
            <w:r>
              <w:rPr>
                <w:rFonts w:ascii="Arial" w:eastAsia="Arial" w:hAnsi="Arial" w:cs="Arial"/>
                <w:sz w:val="22"/>
                <w:szCs w:val="22"/>
              </w:rPr>
              <w:t>Prof Mark New is the former Director of the African Climate and Development Initiative at UCT and Director of the ARUA Centre of Excellence for Climate and Development. With over 25 years in climate research, he focuses on climate risk, adaptation, and resilience in Africa, leading major international projects</w:t>
            </w:r>
          </w:p>
          <w:p w14:paraId="1661812C" w14:textId="77777777" w:rsidR="00DC42D0" w:rsidRDefault="00DC42D0">
            <w:pPr>
              <w:jc w:val="both"/>
              <w:rPr>
                <w:rFonts w:ascii="Arial" w:eastAsia="Arial" w:hAnsi="Arial" w:cs="Arial"/>
                <w:sz w:val="22"/>
                <w:szCs w:val="22"/>
              </w:rPr>
            </w:pPr>
          </w:p>
          <w:p w14:paraId="35A524DD"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Participant 6 Contribution: </w:t>
            </w:r>
          </w:p>
          <w:p w14:paraId="1B840EC0" w14:textId="77777777" w:rsidR="00DC42D0" w:rsidRDefault="00A67E0C">
            <w:pPr>
              <w:jc w:val="both"/>
              <w:rPr>
                <w:rFonts w:ascii="Arial" w:eastAsia="Arial" w:hAnsi="Arial" w:cs="Arial"/>
                <w:b/>
                <w:sz w:val="22"/>
                <w:szCs w:val="22"/>
              </w:rPr>
            </w:pPr>
            <w:r>
              <w:rPr>
                <w:rFonts w:ascii="Arial" w:eastAsia="Arial" w:hAnsi="Arial" w:cs="Arial"/>
                <w:b/>
                <w:sz w:val="22"/>
                <w:szCs w:val="22"/>
              </w:rPr>
              <w:t>Table Facilitator</w:t>
            </w:r>
          </w:p>
          <w:p w14:paraId="343694C5" w14:textId="77777777" w:rsidR="00DC42D0" w:rsidRDefault="00DC42D0">
            <w:pPr>
              <w:jc w:val="both"/>
              <w:rPr>
                <w:rFonts w:ascii="Arial" w:eastAsia="Arial" w:hAnsi="Arial" w:cs="Arial"/>
                <w:b/>
                <w:sz w:val="22"/>
                <w:szCs w:val="22"/>
              </w:rPr>
            </w:pPr>
          </w:p>
          <w:p w14:paraId="2CF62C2C" w14:textId="77777777" w:rsidR="00DC42D0" w:rsidRDefault="00A67E0C">
            <w:pPr>
              <w:jc w:val="both"/>
              <w:rPr>
                <w:rFonts w:ascii="Arial" w:eastAsia="Arial" w:hAnsi="Arial" w:cs="Arial"/>
                <w:b/>
                <w:sz w:val="22"/>
                <w:szCs w:val="22"/>
                <w:u w:val="single"/>
              </w:rPr>
            </w:pPr>
            <w:r>
              <w:rPr>
                <w:rFonts w:ascii="Arial" w:eastAsia="Arial" w:hAnsi="Arial" w:cs="Arial"/>
                <w:b/>
                <w:sz w:val="22"/>
                <w:szCs w:val="22"/>
                <w:u w:val="single"/>
              </w:rPr>
              <w:t>Participant 7</w:t>
            </w:r>
          </w:p>
          <w:p w14:paraId="7B096F52" w14:textId="77777777" w:rsidR="00DC42D0" w:rsidRDefault="00A67E0C">
            <w:pPr>
              <w:jc w:val="both"/>
              <w:rPr>
                <w:rFonts w:ascii="Arial" w:eastAsia="Arial" w:hAnsi="Arial" w:cs="Arial"/>
                <w:b/>
                <w:sz w:val="22"/>
                <w:szCs w:val="22"/>
              </w:rPr>
            </w:pPr>
            <w:r>
              <w:rPr>
                <w:rFonts w:ascii="Arial" w:eastAsia="Arial" w:hAnsi="Arial" w:cs="Arial"/>
                <w:b/>
                <w:sz w:val="22"/>
                <w:szCs w:val="22"/>
              </w:rPr>
              <w:t>Full Name: Ruth Magreta</w:t>
            </w:r>
          </w:p>
          <w:p w14:paraId="340086BD" w14:textId="0A6650AA" w:rsidR="00DC42D0" w:rsidRDefault="00A67E0C">
            <w:pPr>
              <w:jc w:val="both"/>
              <w:rPr>
                <w:rFonts w:ascii="Arial" w:eastAsia="Arial" w:hAnsi="Arial" w:cs="Arial"/>
                <w:b/>
                <w:sz w:val="22"/>
                <w:szCs w:val="22"/>
              </w:rPr>
            </w:pPr>
            <w:r>
              <w:rPr>
                <w:rFonts w:ascii="Arial" w:eastAsia="Arial" w:hAnsi="Arial" w:cs="Arial"/>
                <w:b/>
                <w:sz w:val="22"/>
                <w:szCs w:val="22"/>
              </w:rPr>
              <w:t xml:space="preserve">Organisation: </w:t>
            </w:r>
            <w:r w:rsidR="00DB36E2">
              <w:rPr>
                <w:rFonts w:ascii="Arial" w:eastAsia="Arial" w:hAnsi="Arial" w:cs="Arial"/>
                <w:b/>
                <w:sz w:val="22"/>
                <w:szCs w:val="22"/>
              </w:rPr>
              <w:t>Lilongwe University of Agriculture and Natural Resources</w:t>
            </w:r>
          </w:p>
          <w:p w14:paraId="133DD482" w14:textId="7D16D193" w:rsidR="00DC42D0" w:rsidRDefault="00A67E0C">
            <w:pPr>
              <w:jc w:val="both"/>
              <w:rPr>
                <w:rFonts w:ascii="Arial" w:eastAsia="Arial" w:hAnsi="Arial" w:cs="Arial"/>
                <w:b/>
                <w:sz w:val="22"/>
                <w:szCs w:val="22"/>
              </w:rPr>
            </w:pPr>
            <w:r>
              <w:rPr>
                <w:rFonts w:ascii="Arial" w:eastAsia="Arial" w:hAnsi="Arial" w:cs="Arial"/>
                <w:b/>
                <w:sz w:val="22"/>
                <w:szCs w:val="22"/>
              </w:rPr>
              <w:t>Bio</w:t>
            </w:r>
            <w:r w:rsidR="00A917A7">
              <w:rPr>
                <w:rFonts w:ascii="Arial" w:eastAsia="Arial" w:hAnsi="Arial" w:cs="Arial"/>
                <w:b/>
                <w:sz w:val="22"/>
                <w:szCs w:val="22"/>
              </w:rPr>
              <w:t>:</w:t>
            </w:r>
          </w:p>
          <w:p w14:paraId="460E3C85" w14:textId="77777777" w:rsidR="00DC42D0" w:rsidRDefault="00A67E0C">
            <w:pPr>
              <w:jc w:val="both"/>
              <w:rPr>
                <w:rFonts w:ascii="Arial" w:eastAsia="Arial" w:hAnsi="Arial" w:cs="Arial"/>
                <w:sz w:val="22"/>
                <w:szCs w:val="22"/>
              </w:rPr>
            </w:pPr>
            <w:r>
              <w:rPr>
                <w:rFonts w:ascii="Arial" w:eastAsia="Arial" w:hAnsi="Arial" w:cs="Arial"/>
                <w:sz w:val="22"/>
                <w:szCs w:val="22"/>
              </w:rPr>
              <w:t>Ruth Magreta</w:t>
            </w:r>
            <w:r>
              <w:rPr>
                <w:rFonts w:ascii="Arial" w:eastAsia="Arial" w:hAnsi="Arial" w:cs="Arial"/>
                <w:sz w:val="22"/>
                <w:szCs w:val="22"/>
              </w:rPr>
              <w:t>, a gender expert and Lecturer at LUANAR, specializes in agricultural policy, gender analysis, and climate change adaptation. She researches farmers' decision-making, food security, and climate resilience. As Deputy Director of the Africa Centre of Excellence in Agricultural Policy Analysis, she collaborates regionally, publishes, and consults for CGIAR and UN agencies</w:t>
            </w:r>
          </w:p>
          <w:p w14:paraId="2B34841F" w14:textId="77777777" w:rsidR="00DC42D0" w:rsidRDefault="00DC42D0">
            <w:pPr>
              <w:jc w:val="both"/>
              <w:rPr>
                <w:rFonts w:ascii="Arial" w:eastAsia="Arial" w:hAnsi="Arial" w:cs="Arial"/>
                <w:b/>
                <w:sz w:val="22"/>
                <w:szCs w:val="22"/>
              </w:rPr>
            </w:pPr>
          </w:p>
          <w:p w14:paraId="18BD6FE2" w14:textId="77777777" w:rsidR="00DC42D0" w:rsidRDefault="00A67E0C">
            <w:pPr>
              <w:jc w:val="both"/>
              <w:rPr>
                <w:rFonts w:ascii="Arial" w:eastAsia="Arial" w:hAnsi="Arial" w:cs="Arial"/>
                <w:b/>
                <w:sz w:val="22"/>
                <w:szCs w:val="22"/>
              </w:rPr>
            </w:pPr>
            <w:r>
              <w:rPr>
                <w:rFonts w:ascii="Arial" w:eastAsia="Arial" w:hAnsi="Arial" w:cs="Arial"/>
                <w:b/>
                <w:sz w:val="22"/>
                <w:szCs w:val="22"/>
              </w:rPr>
              <w:t xml:space="preserve">Participant 7 Contribution: </w:t>
            </w:r>
          </w:p>
          <w:p w14:paraId="6A65806D" w14:textId="77777777" w:rsidR="00DC42D0" w:rsidRDefault="00A67E0C" w:rsidP="00A67E0C">
            <w:pPr>
              <w:jc w:val="both"/>
              <w:rPr>
                <w:rFonts w:ascii="Arial" w:eastAsia="Arial" w:hAnsi="Arial" w:cs="Arial"/>
                <w:b/>
                <w:sz w:val="22"/>
                <w:szCs w:val="22"/>
              </w:rPr>
            </w:pPr>
            <w:r>
              <w:rPr>
                <w:rFonts w:ascii="Arial" w:eastAsia="Arial" w:hAnsi="Arial" w:cs="Arial"/>
                <w:b/>
                <w:sz w:val="22"/>
                <w:szCs w:val="22"/>
              </w:rPr>
              <w:t>Table Facilitator</w:t>
            </w:r>
          </w:p>
          <w:p w14:paraId="408E03CE" w14:textId="0AB431E3" w:rsidR="00A67E0C" w:rsidRDefault="00A67E0C" w:rsidP="00A67E0C">
            <w:pPr>
              <w:jc w:val="both"/>
              <w:rPr>
                <w:rFonts w:ascii="Arial" w:eastAsia="Arial" w:hAnsi="Arial" w:cs="Arial"/>
                <w:b/>
                <w:sz w:val="22"/>
                <w:szCs w:val="22"/>
              </w:rPr>
            </w:pPr>
          </w:p>
        </w:tc>
      </w:tr>
    </w:tbl>
    <w:p w14:paraId="3269C379" w14:textId="77777777" w:rsidR="00DC42D0" w:rsidRDefault="00DC42D0">
      <w:pPr>
        <w:rPr>
          <w:color w:val="0000FF"/>
        </w:rPr>
      </w:pPr>
    </w:p>
    <w:sectPr w:rsidR="00DC42D0">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4440E60-CE80-47C2-BB4E-24C12E42C6A5}"/>
  </w:font>
  <w:font w:name="Aptos">
    <w:charset w:val="00"/>
    <w:family w:val="swiss"/>
    <w:pitch w:val="variable"/>
    <w:sig w:usb0="20000287" w:usb1="00000003" w:usb2="00000000" w:usb3="00000000" w:csb0="0000019F" w:csb1="00000000"/>
    <w:embedRegular r:id="rId2" w:fontKey="{2548332C-4C8E-4443-ABD3-B6C641BEBDC9}"/>
    <w:embedItalic r:id="rId3" w:fontKey="{E6AB6CA9-E152-45E3-9584-90DC92A8E4EB}"/>
  </w:font>
  <w:font w:name="Play">
    <w:charset w:val="00"/>
    <w:family w:val="auto"/>
    <w:pitch w:val="default"/>
    <w:embedRegular r:id="rId4" w:fontKey="{46647F83-5F91-4CF7-A5CC-F0A9B1E9551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29C56EC9-1E58-4906-ACD2-AE9197598854}"/>
  </w:font>
  <w:font w:name="Calibri">
    <w:panose1 w:val="020F0502020204030204"/>
    <w:charset w:val="00"/>
    <w:family w:val="swiss"/>
    <w:pitch w:val="variable"/>
    <w:sig w:usb0="E4002EFF" w:usb1="C200247B" w:usb2="00000009" w:usb3="00000000" w:csb0="000001FF" w:csb1="00000000"/>
    <w:embedRegular r:id="rId6" w:fontKey="{F037E2A6-D4D0-4302-AF3E-4344BEE08B8A}"/>
  </w:font>
  <w:font w:name="Cambria">
    <w:panose1 w:val="02040503050406030204"/>
    <w:charset w:val="00"/>
    <w:family w:val="roman"/>
    <w:pitch w:val="variable"/>
    <w:sig w:usb0="E00006FF" w:usb1="420024FF" w:usb2="02000000" w:usb3="00000000" w:csb0="0000019F" w:csb1="00000000"/>
    <w:embedRegular r:id="rId7" w:fontKey="{3AE2C1E0-F77A-40B4-B242-4A7CF722B0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9E642E"/>
    <w:multiLevelType w:val="multilevel"/>
    <w:tmpl w:val="F87AF46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9923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2D0"/>
    <w:rsid w:val="00A67E0C"/>
    <w:rsid w:val="00A917A7"/>
    <w:rsid w:val="00BA16FA"/>
    <w:rsid w:val="00D61EEE"/>
    <w:rsid w:val="00DB36E2"/>
    <w:rsid w:val="00DC42D0"/>
    <w:rsid w:val="00E04D73"/>
    <w:rsid w:val="00E83831"/>
    <w:rsid w:val="00F92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562C8"/>
  <w15:docId w15:val="{8DF62A00-6B9E-9447-BCB8-6842D791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i/>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color w:val="595959"/>
      <w:sz w:val="28"/>
      <w:szCs w:val="2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EC95BC-9B0F-4364-9A1E-371BF68B6690}">
  <ds:schemaRefs>
    <ds:schemaRef ds:uri="9c8a2b7b-0bee-4c48-b0a6-23db8982d3bc"/>
    <ds:schemaRef ds:uri="http://schemas.openxmlformats.org/package/2006/metadata/core-properties"/>
    <ds:schemaRef ds:uri="http://purl.org/dc/dcmitype/"/>
    <ds:schemaRef ds:uri="http://schemas.microsoft.com/office/2006/metadata/properties"/>
    <ds:schemaRef ds:uri="http://www.w3.org/XML/1998/namespace"/>
    <ds:schemaRef ds:uri="http://purl.org/dc/terms/"/>
    <ds:schemaRef ds:uri="cab52c9b-ab33-4221-8af9-54f8f2b86a80"/>
    <ds:schemaRef ds:uri="http://schemas.microsoft.com/office/2006/documentManagement/types"/>
    <ds:schemaRef ds:uri="http://schemas.microsoft.com/office/infopath/2007/PartnerControls"/>
    <ds:schemaRef ds:uri="6911e96c-4cc4-42d5-8e43-f93924cf6a05"/>
    <ds:schemaRef ds:uri="http://purl.org/dc/elements/1.1/"/>
  </ds:schemaRefs>
</ds:datastoreItem>
</file>

<file path=customXml/itemProps2.xml><?xml version="1.0" encoding="utf-8"?>
<ds:datastoreItem xmlns:ds="http://schemas.openxmlformats.org/officeDocument/2006/customXml" ds:itemID="{F89DAC44-82FB-463E-A4B0-765FE380747E}">
  <ds:schemaRefs>
    <ds:schemaRef ds:uri="http://schemas.microsoft.com/sharepoint/v3/contenttype/forms"/>
  </ds:schemaRefs>
</ds:datastoreItem>
</file>

<file path=customXml/itemProps3.xml><?xml version="1.0" encoding="utf-8"?>
<ds:datastoreItem xmlns:ds="http://schemas.openxmlformats.org/officeDocument/2006/customXml" ds:itemID="{221AEC7F-B4AB-45A7-A32D-4ABA86C11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6</cp:revision>
  <dcterms:created xsi:type="dcterms:W3CDTF">2025-02-28T20:12:00Z</dcterms:created>
  <dcterms:modified xsi:type="dcterms:W3CDTF">2025-08-09T20:38:00Z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