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B70DC1" w:rsidRDefault="009C374A" w:rsidP="00375B20">
      <w:pPr>
        <w:rPr>
          <w:rFonts w:ascii="Arial" w:hAnsi="Arial" w:cs="Arial"/>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B70DC1" w14:paraId="3CA33060" w14:textId="77777777" w:rsidTr="2494326F">
        <w:tc>
          <w:tcPr>
            <w:tcW w:w="8640" w:type="dxa"/>
            <w:shd w:val="clear" w:color="auto" w:fill="F2F2F2" w:themeFill="background1" w:themeFillShade="F2"/>
          </w:tcPr>
          <w:p w14:paraId="2003E176" w14:textId="4643BD2F" w:rsidR="00C8423A" w:rsidRPr="002838FE" w:rsidRDefault="00B70DC1" w:rsidP="001E2B2C">
            <w:pPr>
              <w:jc w:val="both"/>
              <w:rPr>
                <w:rFonts w:ascii="Arial" w:hAnsi="Arial" w:cs="Arial"/>
                <w:bCs/>
                <w:i/>
                <w:iCs/>
                <w:sz w:val="22"/>
                <w:szCs w:val="22"/>
              </w:rPr>
            </w:pPr>
            <w:r w:rsidRPr="002838FE">
              <w:rPr>
                <w:rFonts w:ascii="Arial" w:hAnsi="Arial" w:cs="Arial"/>
                <w:bCs/>
                <w:i/>
                <w:iCs/>
                <w:sz w:val="22"/>
                <w:szCs w:val="22"/>
              </w:rPr>
              <w:t>Paper</w:t>
            </w:r>
          </w:p>
          <w:p w14:paraId="1962E56D" w14:textId="58423B41" w:rsidR="00C8423A" w:rsidRPr="002838FE" w:rsidRDefault="20B8D128" w:rsidP="002838FE">
            <w:pPr>
              <w:tabs>
                <w:tab w:val="left" w:pos="3386"/>
              </w:tabs>
              <w:spacing w:line="259" w:lineRule="auto"/>
              <w:rPr>
                <w:rFonts w:ascii="Arial" w:eastAsia="Noto Sans SemiCondensed" w:hAnsi="Arial" w:cs="Arial"/>
                <w:b/>
                <w:bCs/>
                <w:sz w:val="22"/>
                <w:szCs w:val="22"/>
                <w:lang w:val="en-CA"/>
              </w:rPr>
            </w:pPr>
            <w:r w:rsidRPr="002838FE">
              <w:rPr>
                <w:rFonts w:ascii="Arial" w:eastAsia="Noto Sans SemiCondensed" w:hAnsi="Arial" w:cs="Arial"/>
                <w:b/>
                <w:bCs/>
                <w:sz w:val="22"/>
                <w:szCs w:val="22"/>
                <w:lang w:val="en-CA"/>
              </w:rPr>
              <w:t>Beyond Vulnerability: Integrating Climate Resilience and Environmental Governance for Security and Peace in Latin America</w:t>
            </w:r>
          </w:p>
          <w:p w14:paraId="3F7D1534" w14:textId="5E9D581D" w:rsidR="00C8423A" w:rsidRPr="00B70DC1" w:rsidRDefault="00C8423A" w:rsidP="0065012F">
            <w:pPr>
              <w:tabs>
                <w:tab w:val="left" w:pos="3386"/>
              </w:tabs>
              <w:jc w:val="both"/>
              <w:rPr>
                <w:rFonts w:ascii="Arial" w:hAnsi="Arial" w:cs="Arial"/>
                <w:b/>
                <w:bCs/>
                <w:sz w:val="22"/>
                <w:szCs w:val="22"/>
              </w:rPr>
            </w:pPr>
          </w:p>
        </w:tc>
      </w:tr>
      <w:tr w:rsidR="00C8423A" w:rsidRPr="00B70DC1" w14:paraId="1A1C8C63" w14:textId="77777777" w:rsidTr="2494326F">
        <w:trPr>
          <w:trHeight w:val="3124"/>
        </w:trPr>
        <w:tc>
          <w:tcPr>
            <w:tcW w:w="8640" w:type="dxa"/>
          </w:tcPr>
          <w:p w14:paraId="65A278DB" w14:textId="77777777" w:rsidR="00C8423A" w:rsidRPr="00B70DC1" w:rsidRDefault="00C8423A" w:rsidP="001E2B2C">
            <w:pPr>
              <w:jc w:val="both"/>
              <w:rPr>
                <w:rFonts w:ascii="Arial" w:hAnsi="Arial" w:cs="Arial"/>
                <w:b/>
                <w:sz w:val="22"/>
                <w:szCs w:val="22"/>
              </w:rPr>
            </w:pPr>
          </w:p>
          <w:p w14:paraId="131A5F05" w14:textId="77777777" w:rsidR="0065012F" w:rsidRPr="00B70DC1" w:rsidRDefault="0065012F" w:rsidP="001E2B2C">
            <w:pPr>
              <w:jc w:val="both"/>
              <w:rPr>
                <w:rFonts w:ascii="Arial" w:hAnsi="Arial" w:cs="Arial"/>
                <w:b/>
                <w:sz w:val="22"/>
                <w:szCs w:val="22"/>
              </w:rPr>
            </w:pPr>
            <w:r w:rsidRPr="00B70DC1">
              <w:rPr>
                <w:rFonts w:ascii="Arial" w:hAnsi="Arial" w:cs="Arial"/>
                <w:b/>
                <w:bCs/>
                <w:sz w:val="22"/>
                <w:szCs w:val="22"/>
              </w:rPr>
              <w:t>Introduction</w:t>
            </w:r>
          </w:p>
          <w:p w14:paraId="0C44487B" w14:textId="268F8C0D" w:rsidR="0065012F" w:rsidRPr="00B70DC1" w:rsidRDefault="0065012F" w:rsidP="1032DF4E">
            <w:pPr>
              <w:jc w:val="both"/>
              <w:rPr>
                <w:rFonts w:ascii="Arial" w:hAnsi="Arial" w:cs="Arial"/>
                <w:b/>
                <w:bCs/>
                <w:sz w:val="22"/>
                <w:szCs w:val="22"/>
              </w:rPr>
            </w:pPr>
          </w:p>
          <w:p w14:paraId="583CC7C0" w14:textId="509317C6" w:rsidR="0065012F" w:rsidRPr="00B70DC1" w:rsidRDefault="7B070142" w:rsidP="1622C911">
            <w:pPr>
              <w:spacing w:after="160" w:line="257" w:lineRule="auto"/>
              <w:jc w:val="both"/>
              <w:rPr>
                <w:rFonts w:ascii="Arial" w:eastAsia="Noto Sans SemiCondensed" w:hAnsi="Arial" w:cs="Arial"/>
                <w:sz w:val="22"/>
                <w:szCs w:val="22"/>
                <w:lang w:val="en-US"/>
              </w:rPr>
            </w:pPr>
            <w:r w:rsidRPr="00B70DC1">
              <w:rPr>
                <w:rFonts w:ascii="Arial" w:eastAsia="Noto Sans SemiCondensed" w:hAnsi="Arial" w:cs="Arial"/>
                <w:sz w:val="22"/>
                <w:szCs w:val="22"/>
                <w:lang w:val="en-US"/>
              </w:rPr>
              <w:t>By e</w:t>
            </w:r>
            <w:r w:rsidR="2532AE8B" w:rsidRPr="00B70DC1">
              <w:rPr>
                <w:rFonts w:ascii="Arial" w:eastAsia="Noto Sans SemiCondensed" w:hAnsi="Arial" w:cs="Arial"/>
                <w:sz w:val="22"/>
                <w:szCs w:val="22"/>
                <w:lang w:val="en-US"/>
              </w:rPr>
              <w:t>xamining climate-related security risks in twelve vulnerable and fragile landscapes across Latin America, this research highlights how interconnected socio-environmental threats impact communities' resilience and stability. These landscapes, home to historically marginalized populations, as well as other rural low-income groups, experience multiple risks such as migration, displacement, and challenges related to security from a broad perspective. Conducted within the framework of the PARES project, th</w:t>
            </w:r>
            <w:r w:rsidR="6A9EBAC4" w:rsidRPr="00B70DC1">
              <w:rPr>
                <w:rFonts w:ascii="Arial" w:eastAsia="Noto Sans SemiCondensed" w:hAnsi="Arial" w:cs="Arial"/>
                <w:sz w:val="22"/>
                <w:szCs w:val="22"/>
                <w:lang w:val="en-US"/>
              </w:rPr>
              <w:t>is</w:t>
            </w:r>
            <w:r w:rsidR="2532AE8B" w:rsidRPr="00B70DC1">
              <w:rPr>
                <w:rFonts w:ascii="Arial" w:eastAsia="Noto Sans SemiCondensed" w:hAnsi="Arial" w:cs="Arial"/>
                <w:sz w:val="22"/>
                <w:szCs w:val="22"/>
                <w:lang w:val="en-US"/>
              </w:rPr>
              <w:t xml:space="preserve"> study applies a participatory vulnerability and fragility assessment to explore how Nature-based Solutions (</w:t>
            </w:r>
            <w:proofErr w:type="spellStart"/>
            <w:r w:rsidR="2532AE8B" w:rsidRPr="00B70DC1">
              <w:rPr>
                <w:rFonts w:ascii="Arial" w:eastAsia="Noto Sans SemiCondensed" w:hAnsi="Arial" w:cs="Arial"/>
                <w:sz w:val="22"/>
                <w:szCs w:val="22"/>
                <w:lang w:val="en-US"/>
              </w:rPr>
              <w:t>NbS</w:t>
            </w:r>
            <w:proofErr w:type="spellEnd"/>
            <w:r w:rsidR="2532AE8B" w:rsidRPr="00B70DC1">
              <w:rPr>
                <w:rFonts w:ascii="Arial" w:eastAsia="Noto Sans SemiCondensed" w:hAnsi="Arial" w:cs="Arial"/>
                <w:sz w:val="22"/>
                <w:szCs w:val="22"/>
                <w:lang w:val="en-US"/>
              </w:rPr>
              <w:t>) can enhance resilience by addressing both climate vulnerability and security risks within adaptive governance structures.</w:t>
            </w:r>
          </w:p>
          <w:p w14:paraId="4806BFDB" w14:textId="61F21007" w:rsidR="0065012F" w:rsidRPr="00B70DC1" w:rsidRDefault="0065012F" w:rsidP="1032DF4E">
            <w:pPr>
              <w:jc w:val="both"/>
              <w:rPr>
                <w:rFonts w:ascii="Arial" w:hAnsi="Arial" w:cs="Arial"/>
                <w:b/>
                <w:bCs/>
                <w:sz w:val="22"/>
                <w:szCs w:val="22"/>
              </w:rPr>
            </w:pPr>
          </w:p>
          <w:p w14:paraId="5DE13B32" w14:textId="77777777" w:rsidR="0065012F" w:rsidRPr="00B70DC1" w:rsidRDefault="0065012F" w:rsidP="001E2B2C">
            <w:pPr>
              <w:jc w:val="both"/>
              <w:rPr>
                <w:rFonts w:ascii="Arial" w:hAnsi="Arial" w:cs="Arial"/>
                <w:b/>
                <w:sz w:val="22"/>
                <w:szCs w:val="22"/>
              </w:rPr>
            </w:pPr>
            <w:r w:rsidRPr="00B70DC1">
              <w:rPr>
                <w:rFonts w:ascii="Arial" w:hAnsi="Arial" w:cs="Arial"/>
                <w:b/>
                <w:bCs/>
                <w:sz w:val="22"/>
                <w:szCs w:val="22"/>
              </w:rPr>
              <w:t>Objectives</w:t>
            </w:r>
          </w:p>
          <w:p w14:paraId="5408F9AE" w14:textId="4D768C53" w:rsidR="1032DF4E" w:rsidRPr="00B70DC1" w:rsidRDefault="1032DF4E" w:rsidP="1032DF4E">
            <w:pPr>
              <w:jc w:val="both"/>
              <w:rPr>
                <w:rFonts w:ascii="Arial" w:hAnsi="Arial" w:cs="Arial"/>
                <w:b/>
                <w:bCs/>
                <w:sz w:val="22"/>
                <w:szCs w:val="22"/>
              </w:rPr>
            </w:pPr>
          </w:p>
          <w:p w14:paraId="08BC92F2" w14:textId="32C8E68F" w:rsidR="206964AF" w:rsidRPr="00B70DC1" w:rsidRDefault="206964AF" w:rsidP="1622C911">
            <w:pPr>
              <w:spacing w:after="160" w:line="257" w:lineRule="auto"/>
              <w:jc w:val="both"/>
              <w:rPr>
                <w:rFonts w:ascii="Arial" w:eastAsia="Noto Sans SemiCondensed" w:hAnsi="Arial" w:cs="Arial"/>
                <w:sz w:val="22"/>
                <w:szCs w:val="22"/>
                <w:lang w:val="en-US"/>
              </w:rPr>
            </w:pPr>
            <w:r w:rsidRPr="00B70DC1">
              <w:rPr>
                <w:rFonts w:ascii="Arial" w:eastAsia="Noto Sans SemiCondensed" w:hAnsi="Arial" w:cs="Arial"/>
                <w:sz w:val="22"/>
                <w:szCs w:val="22"/>
                <w:lang w:val="en-US"/>
              </w:rPr>
              <w:t xml:space="preserve">Contributing to increasing the body of scholarship on the nexus on climate, peace, and security, this study addresses how </w:t>
            </w:r>
            <w:proofErr w:type="spellStart"/>
            <w:r w:rsidRPr="00B70DC1">
              <w:rPr>
                <w:rFonts w:ascii="Arial" w:eastAsia="Noto Sans SemiCondensed" w:hAnsi="Arial" w:cs="Arial"/>
                <w:sz w:val="22"/>
                <w:szCs w:val="22"/>
                <w:lang w:val="en-US"/>
              </w:rPr>
              <w:t>NbS</w:t>
            </w:r>
            <w:proofErr w:type="spellEnd"/>
            <w:r w:rsidRPr="00B70DC1">
              <w:rPr>
                <w:rFonts w:ascii="Arial" w:eastAsia="Noto Sans SemiCondensed" w:hAnsi="Arial" w:cs="Arial"/>
                <w:sz w:val="22"/>
                <w:szCs w:val="22"/>
                <w:lang w:val="en-US"/>
              </w:rPr>
              <w:t xml:space="preserve"> in vulnerable and fragile landscapes can increase SES resilience.</w:t>
            </w:r>
            <w:r w:rsidR="49CAB049" w:rsidRPr="00B70DC1">
              <w:rPr>
                <w:rFonts w:ascii="Arial" w:eastAsia="Noto Sans SemiCondensed" w:hAnsi="Arial" w:cs="Arial"/>
                <w:sz w:val="22"/>
                <w:szCs w:val="22"/>
                <w:lang w:val="en-US"/>
              </w:rPr>
              <w:t xml:space="preserve"> </w:t>
            </w:r>
            <w:r w:rsidR="11CAD80E" w:rsidRPr="00B70DC1">
              <w:rPr>
                <w:rFonts w:ascii="Arial" w:eastAsia="Noto Sans SemiCondensed" w:hAnsi="Arial" w:cs="Arial"/>
                <w:sz w:val="22"/>
                <w:szCs w:val="22"/>
                <w:lang w:val="en-US"/>
              </w:rPr>
              <w:t>It</w:t>
            </w:r>
            <w:r w:rsidR="0AAA6F6D" w:rsidRPr="00B70DC1">
              <w:rPr>
                <w:rFonts w:ascii="Arial" w:eastAsia="Noto Sans SemiCondensed" w:hAnsi="Arial" w:cs="Arial"/>
                <w:sz w:val="22"/>
                <w:szCs w:val="22"/>
                <w:lang w:val="en-US"/>
              </w:rPr>
              <w:t xml:space="preserve"> </w:t>
            </w:r>
            <w:r w:rsidR="5C7EC513" w:rsidRPr="00B70DC1">
              <w:rPr>
                <w:rFonts w:ascii="Arial" w:eastAsia="Noto Sans SemiCondensed" w:hAnsi="Arial" w:cs="Arial"/>
                <w:sz w:val="22"/>
                <w:szCs w:val="22"/>
                <w:lang w:val="en-US"/>
              </w:rPr>
              <w:t>aims to understand</w:t>
            </w:r>
            <w:r w:rsidR="0AAA6F6D" w:rsidRPr="00B70DC1">
              <w:rPr>
                <w:rFonts w:ascii="Arial" w:eastAsia="Noto Sans SemiCondensed" w:hAnsi="Arial" w:cs="Arial"/>
                <w:sz w:val="22"/>
                <w:szCs w:val="22"/>
                <w:lang w:val="en-US"/>
              </w:rPr>
              <w:t xml:space="preserve"> characteristics of </w:t>
            </w:r>
            <w:r w:rsidR="5DFA38AB" w:rsidRPr="00B70DC1">
              <w:rPr>
                <w:rFonts w:ascii="Arial" w:eastAsia="Noto Sans SemiCondensed" w:hAnsi="Arial" w:cs="Arial"/>
                <w:sz w:val="22"/>
                <w:szCs w:val="22"/>
                <w:lang w:val="en-US"/>
              </w:rPr>
              <w:t xml:space="preserve">the landscapes through </w:t>
            </w:r>
            <w:r w:rsidR="31BCEE12" w:rsidRPr="00B70DC1">
              <w:rPr>
                <w:rFonts w:ascii="Arial" w:eastAsia="Noto Sans SemiCondensed" w:hAnsi="Arial" w:cs="Arial"/>
                <w:sz w:val="22"/>
                <w:szCs w:val="22"/>
                <w:lang w:val="en-US"/>
              </w:rPr>
              <w:t xml:space="preserve">an integrated approach to </w:t>
            </w:r>
            <w:r w:rsidR="218C2907" w:rsidRPr="00B70DC1">
              <w:rPr>
                <w:rFonts w:ascii="Arial" w:eastAsia="Noto Sans SemiCondensed" w:hAnsi="Arial" w:cs="Arial"/>
                <w:sz w:val="22"/>
                <w:szCs w:val="22"/>
                <w:lang w:val="en-US"/>
              </w:rPr>
              <w:t>analyze</w:t>
            </w:r>
            <w:r w:rsidR="31BCEE12" w:rsidRPr="00B70DC1">
              <w:rPr>
                <w:rFonts w:ascii="Arial" w:eastAsia="Noto Sans SemiCondensed" w:hAnsi="Arial" w:cs="Arial"/>
                <w:sz w:val="22"/>
                <w:szCs w:val="22"/>
                <w:lang w:val="en-US"/>
              </w:rPr>
              <w:t xml:space="preserve"> </w:t>
            </w:r>
            <w:r w:rsidR="5DFA38AB" w:rsidRPr="00B70DC1">
              <w:rPr>
                <w:rFonts w:ascii="Arial" w:eastAsia="Noto Sans SemiCondensed" w:hAnsi="Arial" w:cs="Arial"/>
                <w:sz w:val="22"/>
                <w:szCs w:val="22"/>
                <w:lang w:val="en-US"/>
              </w:rPr>
              <w:t xml:space="preserve">social-ecological systems </w:t>
            </w:r>
            <w:r w:rsidR="78DADDF9" w:rsidRPr="00B70DC1">
              <w:rPr>
                <w:rFonts w:ascii="Arial" w:eastAsia="Noto Sans SemiCondensed" w:hAnsi="Arial" w:cs="Arial"/>
                <w:sz w:val="22"/>
                <w:szCs w:val="22"/>
                <w:lang w:val="en-US"/>
              </w:rPr>
              <w:t>(SES)</w:t>
            </w:r>
            <w:r w:rsidR="5EF77D09" w:rsidRPr="00B70DC1">
              <w:rPr>
                <w:rFonts w:ascii="Arial" w:eastAsia="Noto Sans SemiCondensed" w:hAnsi="Arial" w:cs="Arial"/>
                <w:sz w:val="22"/>
                <w:szCs w:val="22"/>
                <w:lang w:val="en-US"/>
              </w:rPr>
              <w:t xml:space="preserve">, livelihoods and </w:t>
            </w:r>
            <w:r w:rsidR="3D180EF6" w:rsidRPr="00B70DC1">
              <w:rPr>
                <w:rFonts w:ascii="Arial" w:eastAsia="Noto Sans SemiCondensed" w:hAnsi="Arial" w:cs="Arial"/>
                <w:sz w:val="22"/>
                <w:szCs w:val="22"/>
                <w:lang w:val="en-US"/>
              </w:rPr>
              <w:t xml:space="preserve">ecosystem services, and </w:t>
            </w:r>
            <w:r w:rsidR="061CDAAB" w:rsidRPr="00B70DC1">
              <w:rPr>
                <w:rFonts w:ascii="Arial" w:eastAsia="Noto Sans SemiCondensed" w:hAnsi="Arial" w:cs="Arial"/>
                <w:sz w:val="22"/>
                <w:szCs w:val="22"/>
                <w:lang w:val="en-US"/>
              </w:rPr>
              <w:t>how they are impacted by</w:t>
            </w:r>
            <w:r w:rsidR="5EF77D09" w:rsidRPr="00B70DC1">
              <w:rPr>
                <w:rFonts w:ascii="Arial" w:eastAsia="Noto Sans SemiCondensed" w:hAnsi="Arial" w:cs="Arial"/>
                <w:sz w:val="22"/>
                <w:szCs w:val="22"/>
                <w:lang w:val="en-US"/>
              </w:rPr>
              <w:t xml:space="preserve"> </w:t>
            </w:r>
            <w:r w:rsidR="7BE9C580" w:rsidRPr="00B70DC1">
              <w:rPr>
                <w:rFonts w:ascii="Arial" w:eastAsia="Noto Sans SemiCondensed" w:hAnsi="Arial" w:cs="Arial"/>
                <w:sz w:val="22"/>
                <w:szCs w:val="22"/>
                <w:lang w:val="en-US"/>
              </w:rPr>
              <w:t>interconn</w:t>
            </w:r>
            <w:r w:rsidR="470F24F3" w:rsidRPr="00B70DC1">
              <w:rPr>
                <w:rFonts w:ascii="Arial" w:eastAsia="Noto Sans SemiCondensed" w:hAnsi="Arial" w:cs="Arial"/>
                <w:sz w:val="22"/>
                <w:szCs w:val="22"/>
                <w:lang w:val="en-US"/>
              </w:rPr>
              <w:t>ected</w:t>
            </w:r>
            <w:r w:rsidR="756B2A99" w:rsidRPr="00B70DC1">
              <w:rPr>
                <w:rFonts w:ascii="Arial" w:eastAsia="Noto Sans SemiCondensed" w:hAnsi="Arial" w:cs="Arial"/>
                <w:sz w:val="22"/>
                <w:szCs w:val="22"/>
                <w:lang w:val="en-US"/>
              </w:rPr>
              <w:t xml:space="preserve"> climate and other security risks</w:t>
            </w:r>
            <w:r w:rsidR="4139A496" w:rsidRPr="00B70DC1">
              <w:rPr>
                <w:rFonts w:ascii="Arial" w:eastAsia="Noto Sans SemiCondensed" w:hAnsi="Arial" w:cs="Arial"/>
                <w:sz w:val="22"/>
                <w:szCs w:val="22"/>
                <w:lang w:val="en-US"/>
              </w:rPr>
              <w:t>.</w:t>
            </w:r>
            <w:r w:rsidR="5014B7FE" w:rsidRPr="00B70DC1">
              <w:rPr>
                <w:rFonts w:ascii="Arial" w:eastAsia="Noto Sans SemiCondensed" w:hAnsi="Arial" w:cs="Arial"/>
                <w:sz w:val="22"/>
                <w:szCs w:val="22"/>
                <w:lang w:val="en-US"/>
              </w:rPr>
              <w:t xml:space="preserve"> </w:t>
            </w:r>
            <w:r w:rsidR="4139A496" w:rsidRPr="00B70DC1">
              <w:rPr>
                <w:rFonts w:ascii="Arial" w:eastAsia="Noto Sans SemiCondensed" w:hAnsi="Arial" w:cs="Arial"/>
                <w:sz w:val="22"/>
                <w:szCs w:val="22"/>
                <w:lang w:val="en-US"/>
              </w:rPr>
              <w:t xml:space="preserve">Further, the study analyses SES fragility and vulnerability on a landscape scale and finally identifies </w:t>
            </w:r>
            <w:r w:rsidR="6097AC4F" w:rsidRPr="00B70DC1">
              <w:rPr>
                <w:rFonts w:ascii="Arial" w:eastAsia="Noto Sans SemiCondensed" w:hAnsi="Arial" w:cs="Arial"/>
                <w:sz w:val="22"/>
                <w:szCs w:val="22"/>
                <w:lang w:val="en-US"/>
              </w:rPr>
              <w:t>possible</w:t>
            </w:r>
            <w:r w:rsidR="4139A496" w:rsidRPr="00B70DC1">
              <w:rPr>
                <w:rFonts w:ascii="Arial" w:eastAsia="Noto Sans SemiCondensed" w:hAnsi="Arial" w:cs="Arial"/>
                <w:sz w:val="22"/>
                <w:szCs w:val="22"/>
                <w:lang w:val="en-US"/>
              </w:rPr>
              <w:t xml:space="preserve"> r</w:t>
            </w:r>
            <w:r w:rsidR="3CA360C2" w:rsidRPr="00B70DC1">
              <w:rPr>
                <w:rFonts w:ascii="Arial" w:eastAsia="Noto Sans SemiCondensed" w:hAnsi="Arial" w:cs="Arial"/>
                <w:sz w:val="22"/>
                <w:szCs w:val="22"/>
                <w:lang w:val="en-US"/>
              </w:rPr>
              <w:t xml:space="preserve">esilience building options </w:t>
            </w:r>
            <w:r w:rsidR="3BD1CFBB" w:rsidRPr="00B70DC1">
              <w:rPr>
                <w:rFonts w:ascii="Arial" w:eastAsia="Noto Sans SemiCondensed" w:hAnsi="Arial" w:cs="Arial"/>
                <w:sz w:val="22"/>
                <w:szCs w:val="22"/>
                <w:lang w:val="en-US"/>
              </w:rPr>
              <w:t xml:space="preserve">through </w:t>
            </w:r>
            <w:proofErr w:type="spellStart"/>
            <w:r w:rsidR="3BD1CFBB" w:rsidRPr="00B70DC1">
              <w:rPr>
                <w:rFonts w:ascii="Arial" w:eastAsia="Noto Sans SemiCondensed" w:hAnsi="Arial" w:cs="Arial"/>
                <w:sz w:val="22"/>
                <w:szCs w:val="22"/>
                <w:lang w:val="en-US"/>
              </w:rPr>
              <w:t>NbS</w:t>
            </w:r>
            <w:proofErr w:type="spellEnd"/>
            <w:r w:rsidR="3BD1CFBB" w:rsidRPr="00B70DC1">
              <w:rPr>
                <w:rFonts w:ascii="Arial" w:eastAsia="Noto Sans SemiCondensed" w:hAnsi="Arial" w:cs="Arial"/>
                <w:sz w:val="22"/>
                <w:szCs w:val="22"/>
                <w:lang w:val="en-US"/>
              </w:rPr>
              <w:t xml:space="preserve"> in the context of </w:t>
            </w:r>
            <w:r w:rsidR="3CA360C2" w:rsidRPr="00B70DC1">
              <w:rPr>
                <w:rFonts w:ascii="Arial" w:eastAsia="Noto Sans SemiCondensed" w:hAnsi="Arial" w:cs="Arial"/>
                <w:sz w:val="22"/>
                <w:szCs w:val="22"/>
                <w:lang w:val="en-US"/>
              </w:rPr>
              <w:t>adaptive governance.</w:t>
            </w:r>
          </w:p>
          <w:p w14:paraId="5F9EA82D" w14:textId="28BE4BA6" w:rsidR="1622C911" w:rsidRPr="00B70DC1" w:rsidRDefault="1622C911" w:rsidP="1622C911">
            <w:pPr>
              <w:spacing w:after="160" w:line="257" w:lineRule="auto"/>
              <w:jc w:val="both"/>
              <w:rPr>
                <w:rFonts w:ascii="Arial" w:eastAsia="Noto Sans SemiCondensed" w:hAnsi="Arial" w:cs="Arial"/>
                <w:sz w:val="22"/>
                <w:szCs w:val="22"/>
                <w:lang w:val="en-US"/>
              </w:rPr>
            </w:pPr>
          </w:p>
          <w:p w14:paraId="1BB16C08" w14:textId="24870E96" w:rsidR="0065012F" w:rsidRPr="00B70DC1" w:rsidRDefault="00906B39" w:rsidP="1032DF4E">
            <w:pPr>
              <w:jc w:val="both"/>
              <w:rPr>
                <w:rFonts w:ascii="Arial" w:hAnsi="Arial" w:cs="Arial"/>
                <w:b/>
                <w:bCs/>
                <w:sz w:val="22"/>
                <w:szCs w:val="22"/>
              </w:rPr>
            </w:pPr>
            <w:r w:rsidRPr="00B70DC1">
              <w:rPr>
                <w:rFonts w:ascii="Arial" w:hAnsi="Arial" w:cs="Arial"/>
                <w:b/>
                <w:bCs/>
                <w:sz w:val="22"/>
                <w:szCs w:val="22"/>
              </w:rPr>
              <w:t>Methodology</w:t>
            </w:r>
          </w:p>
          <w:p w14:paraId="015EFC6C" w14:textId="0A196802" w:rsidR="0065012F" w:rsidRPr="00B70DC1" w:rsidRDefault="488A7F60" w:rsidP="1622C911">
            <w:pPr>
              <w:spacing w:before="240" w:after="240"/>
              <w:jc w:val="both"/>
              <w:rPr>
                <w:rFonts w:ascii="Arial" w:eastAsia="Noto Sans SemiCondensed" w:hAnsi="Arial" w:cs="Arial"/>
                <w:sz w:val="22"/>
                <w:szCs w:val="22"/>
                <w:lang w:val="en-US"/>
              </w:rPr>
            </w:pPr>
            <w:r w:rsidRPr="00B70DC1">
              <w:rPr>
                <w:rFonts w:ascii="Arial" w:eastAsia="Noto Sans SemiCondensed" w:hAnsi="Arial" w:cs="Arial"/>
                <w:sz w:val="22"/>
                <w:szCs w:val="22"/>
                <w:lang w:val="en-US"/>
              </w:rPr>
              <w:t xml:space="preserve">The study is implemented in landscapes across Mexico, Colombia, Ecuador, Guatemala, Honduras, and El Salvador. The methodology follows the Climate, Environment, and Peace (CEAP) framework, structured into six participatory stages that generate robust data on livelihoods, climate-related security risks, and governance structures: </w:t>
            </w:r>
            <w:proofErr w:type="spellStart"/>
            <w:r w:rsidRPr="00B70DC1">
              <w:rPr>
                <w:rFonts w:ascii="Arial" w:eastAsia="Noto Sans SemiCondensed" w:hAnsi="Arial" w:cs="Arial"/>
                <w:sz w:val="22"/>
                <w:szCs w:val="22"/>
                <w:lang w:val="en-US"/>
              </w:rPr>
              <w:t>i</w:t>
            </w:r>
            <w:proofErr w:type="spellEnd"/>
            <w:r w:rsidRPr="00B70DC1">
              <w:rPr>
                <w:rFonts w:ascii="Arial" w:eastAsia="Noto Sans SemiCondensed" w:hAnsi="Arial" w:cs="Arial"/>
                <w:sz w:val="22"/>
                <w:szCs w:val="22"/>
                <w:lang w:val="en-US"/>
              </w:rPr>
              <w:t>) community mobilization, ii) problem analysis through participatory landscape assessment, iii) identification</w:t>
            </w:r>
            <w:r w:rsidR="4DEACA15" w:rsidRPr="00B70DC1">
              <w:rPr>
                <w:rFonts w:ascii="Arial" w:eastAsia="Noto Sans SemiCondensed" w:hAnsi="Arial" w:cs="Arial"/>
                <w:sz w:val="22"/>
                <w:szCs w:val="22"/>
                <w:lang w:val="en-US"/>
              </w:rPr>
              <w:t xml:space="preserve"> of</w:t>
            </w:r>
            <w:r w:rsidRPr="00B70DC1">
              <w:rPr>
                <w:rFonts w:ascii="Arial" w:eastAsia="Noto Sans SemiCondensed" w:hAnsi="Arial" w:cs="Arial"/>
                <w:sz w:val="22"/>
                <w:szCs w:val="22"/>
                <w:lang w:val="en-US"/>
              </w:rPr>
              <w:t xml:space="preserve"> adaptation strategies, iv) co-designing of </w:t>
            </w:r>
            <w:proofErr w:type="spellStart"/>
            <w:r w:rsidRPr="00B70DC1">
              <w:rPr>
                <w:rFonts w:ascii="Arial" w:eastAsia="Noto Sans SemiCondensed" w:hAnsi="Arial" w:cs="Arial"/>
                <w:sz w:val="22"/>
                <w:szCs w:val="22"/>
                <w:lang w:val="en-US"/>
              </w:rPr>
              <w:t>NbS</w:t>
            </w:r>
            <w:proofErr w:type="spellEnd"/>
            <w:r w:rsidRPr="00B70DC1">
              <w:rPr>
                <w:rFonts w:ascii="Arial" w:eastAsia="Noto Sans SemiCondensed" w:hAnsi="Arial" w:cs="Arial"/>
                <w:sz w:val="22"/>
                <w:szCs w:val="22"/>
                <w:lang w:val="en-US"/>
              </w:rPr>
              <w:t xml:space="preserve">, v) </w:t>
            </w:r>
            <w:proofErr w:type="spellStart"/>
            <w:r w:rsidRPr="00B70DC1">
              <w:rPr>
                <w:rFonts w:ascii="Arial" w:eastAsia="Noto Sans SemiCondensed" w:hAnsi="Arial" w:cs="Arial"/>
                <w:sz w:val="22"/>
                <w:szCs w:val="22"/>
                <w:lang w:val="en-US"/>
              </w:rPr>
              <w:t>NbS</w:t>
            </w:r>
            <w:proofErr w:type="spellEnd"/>
            <w:r w:rsidRPr="00B70DC1">
              <w:rPr>
                <w:rFonts w:ascii="Arial" w:eastAsia="Noto Sans SemiCondensed" w:hAnsi="Arial" w:cs="Arial"/>
                <w:sz w:val="22"/>
                <w:szCs w:val="22"/>
                <w:lang w:val="en-US"/>
              </w:rPr>
              <w:t xml:space="preserve"> implementation, and vi) monitoring &amp; evaluation.</w:t>
            </w:r>
            <w:r w:rsidR="12C13E16" w:rsidRPr="00B70DC1">
              <w:rPr>
                <w:rFonts w:ascii="Arial" w:eastAsia="Noto Sans SemiCondensed" w:hAnsi="Arial" w:cs="Arial"/>
                <w:sz w:val="22"/>
                <w:szCs w:val="22"/>
                <w:lang w:val="en-US"/>
              </w:rPr>
              <w:t xml:space="preserve"> The</w:t>
            </w:r>
            <w:r w:rsidR="5F1FECBA" w:rsidRPr="00B70DC1">
              <w:rPr>
                <w:rFonts w:ascii="Arial" w:eastAsia="Noto Sans SemiCondensed" w:hAnsi="Arial" w:cs="Arial"/>
                <w:sz w:val="22"/>
                <w:szCs w:val="22"/>
                <w:lang w:val="en-US"/>
              </w:rPr>
              <w:t xml:space="preserve"> participatory community-based</w:t>
            </w:r>
            <w:r w:rsidR="12C13E16" w:rsidRPr="00B70DC1">
              <w:rPr>
                <w:rFonts w:ascii="Arial" w:eastAsia="Noto Sans SemiCondensed" w:hAnsi="Arial" w:cs="Arial"/>
                <w:sz w:val="22"/>
                <w:szCs w:val="22"/>
                <w:lang w:val="en-US"/>
              </w:rPr>
              <w:t xml:space="preserve"> assessment is complemented with</w:t>
            </w:r>
            <w:r w:rsidR="65B14406" w:rsidRPr="00B70DC1">
              <w:rPr>
                <w:rFonts w:ascii="Arial" w:eastAsia="Noto Sans SemiCondensed" w:hAnsi="Arial" w:cs="Arial"/>
                <w:sz w:val="22"/>
                <w:szCs w:val="22"/>
                <w:lang w:val="en-US"/>
              </w:rPr>
              <w:t xml:space="preserve"> other</w:t>
            </w:r>
            <w:r w:rsidR="12C13E16" w:rsidRPr="00B70DC1">
              <w:rPr>
                <w:rFonts w:ascii="Arial" w:eastAsia="Noto Sans SemiCondensed" w:hAnsi="Arial" w:cs="Arial"/>
                <w:sz w:val="22"/>
                <w:szCs w:val="22"/>
                <w:lang w:val="en-US"/>
              </w:rPr>
              <w:t xml:space="preserve"> qualitative methods (e.g., participant observation, unstructured interviews) that are used to understanding intersectional</w:t>
            </w:r>
            <w:r w:rsidR="7AEDFE8A" w:rsidRPr="00B70DC1">
              <w:rPr>
                <w:rFonts w:ascii="Arial" w:eastAsia="Noto Sans SemiCondensed" w:hAnsi="Arial" w:cs="Arial"/>
                <w:sz w:val="22"/>
                <w:szCs w:val="22"/>
                <w:lang w:val="en-US"/>
              </w:rPr>
              <w:t xml:space="preserve">, </w:t>
            </w:r>
            <w:r w:rsidR="12C13E16" w:rsidRPr="00B70DC1">
              <w:rPr>
                <w:rFonts w:ascii="Arial" w:eastAsia="Noto Sans SemiCondensed" w:hAnsi="Arial" w:cs="Arial"/>
                <w:sz w:val="22"/>
                <w:szCs w:val="22"/>
                <w:lang w:val="en-US"/>
              </w:rPr>
              <w:t>justice</w:t>
            </w:r>
            <w:r w:rsidR="0EFF9B8A" w:rsidRPr="00B70DC1">
              <w:rPr>
                <w:rFonts w:ascii="Arial" w:eastAsia="Noto Sans SemiCondensed" w:hAnsi="Arial" w:cs="Arial"/>
                <w:sz w:val="22"/>
                <w:szCs w:val="22"/>
                <w:lang w:val="en-US"/>
              </w:rPr>
              <w:t xml:space="preserve"> and conflict-sensitive</w:t>
            </w:r>
            <w:r w:rsidR="12C13E16" w:rsidRPr="00B70DC1">
              <w:rPr>
                <w:rFonts w:ascii="Arial" w:eastAsia="Noto Sans SemiCondensed" w:hAnsi="Arial" w:cs="Arial"/>
                <w:sz w:val="22"/>
                <w:szCs w:val="22"/>
                <w:lang w:val="en-US"/>
              </w:rPr>
              <w:t xml:space="preserve"> dimensions of the study. </w:t>
            </w:r>
            <w:r w:rsidR="6F26BE0B" w:rsidRPr="00B70DC1">
              <w:rPr>
                <w:rFonts w:ascii="Arial" w:eastAsia="Noto Sans SemiCondensed" w:hAnsi="Arial" w:cs="Arial"/>
                <w:sz w:val="22"/>
                <w:szCs w:val="22"/>
                <w:lang w:val="en-US"/>
              </w:rPr>
              <w:t xml:space="preserve"> For scenario planning, we </w:t>
            </w:r>
            <w:r w:rsidR="2FBD8314" w:rsidRPr="00B70DC1">
              <w:rPr>
                <w:rFonts w:ascii="Arial" w:eastAsia="Noto Sans SemiCondensed" w:hAnsi="Arial" w:cs="Arial"/>
                <w:sz w:val="22"/>
                <w:szCs w:val="22"/>
                <w:lang w:val="en-US"/>
              </w:rPr>
              <w:t xml:space="preserve">also </w:t>
            </w:r>
            <w:r w:rsidR="6F26BE0B" w:rsidRPr="00B70DC1">
              <w:rPr>
                <w:rFonts w:ascii="Arial" w:eastAsia="Noto Sans SemiCondensed" w:hAnsi="Arial" w:cs="Arial"/>
                <w:sz w:val="22"/>
                <w:szCs w:val="22"/>
                <w:lang w:val="en-US"/>
              </w:rPr>
              <w:t xml:space="preserve">use secondary climate and geospatial data, and findings from the literature on </w:t>
            </w:r>
            <w:r w:rsidR="6A54CC32" w:rsidRPr="00B70DC1">
              <w:rPr>
                <w:rFonts w:ascii="Arial" w:eastAsia="Noto Sans SemiCondensed" w:hAnsi="Arial" w:cs="Arial"/>
                <w:sz w:val="22"/>
                <w:szCs w:val="22"/>
                <w:lang w:val="en-US"/>
              </w:rPr>
              <w:t>future climate impacts.</w:t>
            </w:r>
            <w:r w:rsidR="6F26BE0B" w:rsidRPr="00B70DC1">
              <w:rPr>
                <w:rFonts w:ascii="Arial" w:eastAsia="Noto Sans SemiCondensed" w:hAnsi="Arial" w:cs="Arial"/>
                <w:sz w:val="22"/>
                <w:szCs w:val="22"/>
                <w:lang w:val="en-US"/>
              </w:rPr>
              <w:t xml:space="preserve"> </w:t>
            </w:r>
          </w:p>
          <w:p w14:paraId="05117BEA" w14:textId="4F4D9456" w:rsidR="1032DF4E" w:rsidRPr="00B70DC1" w:rsidRDefault="1032DF4E" w:rsidP="1032DF4E">
            <w:pPr>
              <w:jc w:val="both"/>
              <w:rPr>
                <w:rFonts w:ascii="Arial" w:hAnsi="Arial" w:cs="Arial"/>
                <w:b/>
                <w:bCs/>
                <w:sz w:val="22"/>
                <w:szCs w:val="22"/>
              </w:rPr>
            </w:pPr>
          </w:p>
          <w:p w14:paraId="62DAA8AE" w14:textId="77777777" w:rsidR="0065012F" w:rsidRPr="00B70DC1" w:rsidRDefault="0065012F" w:rsidP="001E2B2C">
            <w:pPr>
              <w:jc w:val="both"/>
              <w:rPr>
                <w:rFonts w:ascii="Arial" w:hAnsi="Arial" w:cs="Arial"/>
                <w:b/>
                <w:sz w:val="22"/>
                <w:szCs w:val="22"/>
              </w:rPr>
            </w:pPr>
            <w:r w:rsidRPr="00B70DC1">
              <w:rPr>
                <w:rFonts w:ascii="Arial" w:hAnsi="Arial" w:cs="Arial"/>
                <w:b/>
                <w:bCs/>
                <w:sz w:val="22"/>
                <w:szCs w:val="22"/>
              </w:rPr>
              <w:t>Findings</w:t>
            </w:r>
          </w:p>
          <w:p w14:paraId="2438B61F" w14:textId="1DC23BAF" w:rsidR="1622C911" w:rsidRPr="00B70DC1" w:rsidRDefault="1622C911" w:rsidP="1622C911">
            <w:pPr>
              <w:jc w:val="both"/>
              <w:rPr>
                <w:rFonts w:ascii="Arial" w:eastAsia="Noto Sans SemiCondensed" w:hAnsi="Arial" w:cs="Arial"/>
                <w:sz w:val="22"/>
                <w:szCs w:val="22"/>
                <w:lang w:val="en-US"/>
              </w:rPr>
            </w:pPr>
          </w:p>
          <w:p w14:paraId="26DC99F1" w14:textId="0521A592" w:rsidR="0065012F" w:rsidRPr="00B70DC1" w:rsidRDefault="74333B40" w:rsidP="1622C911">
            <w:pPr>
              <w:jc w:val="both"/>
              <w:rPr>
                <w:rFonts w:ascii="Arial" w:eastAsia="Noto Sans SemiCondensed" w:hAnsi="Arial" w:cs="Arial"/>
                <w:sz w:val="22"/>
                <w:szCs w:val="22"/>
                <w:lang w:val="en-US"/>
              </w:rPr>
            </w:pPr>
            <w:r w:rsidRPr="00B70DC1">
              <w:rPr>
                <w:rFonts w:ascii="Arial" w:eastAsia="Noto Sans SemiCondensed" w:hAnsi="Arial" w:cs="Arial"/>
                <w:sz w:val="22"/>
                <w:szCs w:val="22"/>
                <w:lang w:val="en-US"/>
              </w:rPr>
              <w:lastRenderedPageBreak/>
              <w:t>Our findings highligh</w:t>
            </w:r>
            <w:r w:rsidR="3D8560A8" w:rsidRPr="00B70DC1">
              <w:rPr>
                <w:rFonts w:ascii="Arial" w:eastAsia="Noto Sans SemiCondensed" w:hAnsi="Arial" w:cs="Arial"/>
                <w:sz w:val="22"/>
                <w:szCs w:val="22"/>
                <w:lang w:val="en-US"/>
              </w:rPr>
              <w:t>t</w:t>
            </w:r>
            <w:r w:rsidRPr="00B70DC1">
              <w:rPr>
                <w:rFonts w:ascii="Arial" w:eastAsia="Noto Sans SemiCondensed" w:hAnsi="Arial" w:cs="Arial"/>
                <w:sz w:val="22"/>
                <w:szCs w:val="22"/>
                <w:lang w:val="en-US"/>
              </w:rPr>
              <w:t xml:space="preserve"> </w:t>
            </w:r>
            <w:r w:rsidR="7E87F42B" w:rsidRPr="00B70DC1">
              <w:rPr>
                <w:rFonts w:ascii="Arial" w:eastAsia="Noto Sans SemiCondensed" w:hAnsi="Arial" w:cs="Arial"/>
                <w:sz w:val="22"/>
                <w:szCs w:val="22"/>
                <w:lang w:val="en-US"/>
              </w:rPr>
              <w:t>p</w:t>
            </w:r>
            <w:r w:rsidR="4E5C28CE" w:rsidRPr="00B70DC1">
              <w:rPr>
                <w:rFonts w:ascii="Arial" w:eastAsia="Noto Sans SemiCondensed" w:hAnsi="Arial" w:cs="Arial"/>
                <w:sz w:val="22"/>
                <w:szCs w:val="22"/>
                <w:lang w:val="en-US"/>
              </w:rPr>
              <w:t xml:space="preserve">otential differentiated approaches where context-specific </w:t>
            </w:r>
            <w:proofErr w:type="spellStart"/>
            <w:r w:rsidR="4E5C28CE" w:rsidRPr="00B70DC1">
              <w:rPr>
                <w:rFonts w:ascii="Arial" w:eastAsia="Noto Sans SemiCondensed" w:hAnsi="Arial" w:cs="Arial"/>
                <w:sz w:val="22"/>
                <w:szCs w:val="22"/>
                <w:lang w:val="en-US"/>
              </w:rPr>
              <w:t>NbS</w:t>
            </w:r>
            <w:proofErr w:type="spellEnd"/>
            <w:r w:rsidR="4E5C28CE" w:rsidRPr="00B70DC1">
              <w:rPr>
                <w:rFonts w:ascii="Arial" w:eastAsia="Noto Sans SemiCondensed" w:hAnsi="Arial" w:cs="Arial"/>
                <w:sz w:val="22"/>
                <w:szCs w:val="22"/>
                <w:lang w:val="en-US"/>
              </w:rPr>
              <w:t xml:space="preserve"> can lead to increased resilience.</w:t>
            </w:r>
            <w:r w:rsidR="74E8A44D" w:rsidRPr="00B70DC1">
              <w:rPr>
                <w:rFonts w:ascii="Arial" w:eastAsia="Noto Sans SemiCondensed" w:hAnsi="Arial" w:cs="Arial"/>
                <w:sz w:val="22"/>
                <w:szCs w:val="22"/>
                <w:lang w:val="en-US"/>
              </w:rPr>
              <w:t xml:space="preserve"> The results show which specific factors related to governance, socio-economic</w:t>
            </w:r>
            <w:r w:rsidR="4E194DA4" w:rsidRPr="00B70DC1">
              <w:rPr>
                <w:rFonts w:ascii="Arial" w:eastAsia="Noto Sans SemiCondensed" w:hAnsi="Arial" w:cs="Arial"/>
                <w:sz w:val="22"/>
                <w:szCs w:val="22"/>
                <w:lang w:val="en-US"/>
              </w:rPr>
              <w:t xml:space="preserve"> </w:t>
            </w:r>
            <w:r w:rsidR="54B4B551" w:rsidRPr="00B70DC1">
              <w:rPr>
                <w:rFonts w:ascii="Arial" w:eastAsia="Noto Sans SemiCondensed" w:hAnsi="Arial" w:cs="Arial"/>
                <w:sz w:val="22"/>
                <w:szCs w:val="22"/>
                <w:lang w:val="en-US"/>
              </w:rPr>
              <w:t xml:space="preserve">and cultural aspects, environmental aspects and climate change vulnerability have an important role in understanding fragility of SES. </w:t>
            </w:r>
            <w:r w:rsidR="4E194DA4" w:rsidRPr="00B70DC1">
              <w:rPr>
                <w:rFonts w:ascii="Arial" w:eastAsia="Noto Sans SemiCondensed" w:hAnsi="Arial" w:cs="Arial"/>
                <w:sz w:val="22"/>
                <w:szCs w:val="22"/>
                <w:lang w:val="en-US"/>
              </w:rPr>
              <w:t xml:space="preserve">Additionally, we provide </w:t>
            </w:r>
            <w:r w:rsidR="12BB3B78" w:rsidRPr="00B70DC1">
              <w:rPr>
                <w:rFonts w:ascii="Arial" w:eastAsia="Noto Sans SemiCondensed" w:hAnsi="Arial" w:cs="Arial"/>
                <w:sz w:val="22"/>
                <w:szCs w:val="22"/>
                <w:lang w:val="en-US"/>
              </w:rPr>
              <w:t>r</w:t>
            </w:r>
            <w:r w:rsidR="4E5C28CE" w:rsidRPr="00B70DC1">
              <w:rPr>
                <w:rFonts w:ascii="Arial" w:eastAsia="Noto Sans SemiCondensed" w:hAnsi="Arial" w:cs="Arial"/>
                <w:sz w:val="22"/>
                <w:szCs w:val="22"/>
                <w:lang w:val="en-US"/>
              </w:rPr>
              <w:t xml:space="preserve">ecommendations for integrating </w:t>
            </w:r>
            <w:proofErr w:type="spellStart"/>
            <w:r w:rsidR="4E5C28CE" w:rsidRPr="00B70DC1">
              <w:rPr>
                <w:rFonts w:ascii="Arial" w:eastAsia="Noto Sans SemiCondensed" w:hAnsi="Arial" w:cs="Arial"/>
                <w:sz w:val="22"/>
                <w:szCs w:val="22"/>
                <w:lang w:val="en-US"/>
              </w:rPr>
              <w:t>NbS</w:t>
            </w:r>
            <w:proofErr w:type="spellEnd"/>
            <w:r w:rsidR="4E5C28CE" w:rsidRPr="00B70DC1">
              <w:rPr>
                <w:rFonts w:ascii="Arial" w:eastAsia="Noto Sans SemiCondensed" w:hAnsi="Arial" w:cs="Arial"/>
                <w:sz w:val="22"/>
                <w:szCs w:val="22"/>
                <w:lang w:val="en-US"/>
              </w:rPr>
              <w:t xml:space="preserve"> into policy frameworks and financial mechanisms to bridge</w:t>
            </w:r>
            <w:r w:rsidR="49E152B9" w:rsidRPr="00B70DC1">
              <w:rPr>
                <w:rFonts w:ascii="Arial" w:eastAsia="Noto Sans SemiCondensed" w:hAnsi="Arial" w:cs="Arial"/>
                <w:sz w:val="22"/>
                <w:szCs w:val="22"/>
                <w:lang w:val="en-US"/>
              </w:rPr>
              <w:t xml:space="preserve"> gaps between</w:t>
            </w:r>
            <w:r w:rsidR="4E5C28CE" w:rsidRPr="00B70DC1">
              <w:rPr>
                <w:rFonts w:ascii="Arial" w:eastAsia="Noto Sans SemiCondensed" w:hAnsi="Arial" w:cs="Arial"/>
                <w:sz w:val="22"/>
                <w:szCs w:val="22"/>
                <w:lang w:val="en-US"/>
              </w:rPr>
              <w:t xml:space="preserve"> local resilience efforts </w:t>
            </w:r>
            <w:r w:rsidR="5643171B" w:rsidRPr="00B70DC1">
              <w:rPr>
                <w:rFonts w:ascii="Arial" w:eastAsia="Noto Sans SemiCondensed" w:hAnsi="Arial" w:cs="Arial"/>
                <w:sz w:val="22"/>
                <w:szCs w:val="22"/>
                <w:lang w:val="en-US"/>
              </w:rPr>
              <w:t xml:space="preserve">and </w:t>
            </w:r>
            <w:r w:rsidR="4E5C28CE" w:rsidRPr="00B70DC1">
              <w:rPr>
                <w:rFonts w:ascii="Arial" w:eastAsia="Noto Sans SemiCondensed" w:hAnsi="Arial" w:cs="Arial"/>
                <w:sz w:val="22"/>
                <w:szCs w:val="22"/>
                <w:lang w:val="en-US"/>
              </w:rPr>
              <w:t>broader climate-security agendas.</w:t>
            </w:r>
            <w:r w:rsidR="7708420C" w:rsidRPr="00B70DC1">
              <w:rPr>
                <w:rFonts w:ascii="Arial" w:eastAsia="Noto Sans SemiCondensed" w:hAnsi="Arial" w:cs="Arial"/>
                <w:sz w:val="22"/>
                <w:szCs w:val="22"/>
                <w:lang w:val="en-US"/>
              </w:rPr>
              <w:t xml:space="preserve"> </w:t>
            </w:r>
            <w:r w:rsidR="05F7DF7D" w:rsidRPr="00B70DC1">
              <w:rPr>
                <w:rFonts w:ascii="Arial" w:eastAsia="Noto Sans SemiCondensed" w:hAnsi="Arial" w:cs="Arial"/>
                <w:sz w:val="22"/>
                <w:szCs w:val="22"/>
                <w:lang w:val="en-US"/>
              </w:rPr>
              <w:t>The findings present in which way</w:t>
            </w:r>
            <w:r w:rsidR="292825F5" w:rsidRPr="00B70DC1">
              <w:rPr>
                <w:rFonts w:ascii="Arial" w:eastAsia="Noto Sans SemiCondensed" w:hAnsi="Arial" w:cs="Arial"/>
                <w:sz w:val="22"/>
                <w:szCs w:val="22"/>
                <w:lang w:val="en-US"/>
              </w:rPr>
              <w:t>s</w:t>
            </w:r>
            <w:r w:rsidR="05F7DF7D" w:rsidRPr="00B70DC1">
              <w:rPr>
                <w:rFonts w:ascii="Arial" w:eastAsia="Noto Sans SemiCondensed" w:hAnsi="Arial" w:cs="Arial"/>
                <w:sz w:val="22"/>
                <w:szCs w:val="22"/>
                <w:lang w:val="en-US"/>
              </w:rPr>
              <w:t xml:space="preserve"> local </w:t>
            </w:r>
            <w:proofErr w:type="spellStart"/>
            <w:r w:rsidR="05F7DF7D" w:rsidRPr="00B70DC1">
              <w:rPr>
                <w:rFonts w:ascii="Arial" w:eastAsia="Noto Sans SemiCondensed" w:hAnsi="Arial" w:cs="Arial"/>
                <w:sz w:val="22"/>
                <w:szCs w:val="22"/>
                <w:lang w:val="en-US"/>
              </w:rPr>
              <w:t>NbS</w:t>
            </w:r>
            <w:proofErr w:type="spellEnd"/>
            <w:r w:rsidR="05F7DF7D" w:rsidRPr="00B70DC1">
              <w:rPr>
                <w:rFonts w:ascii="Arial" w:eastAsia="Noto Sans SemiCondensed" w:hAnsi="Arial" w:cs="Arial"/>
                <w:sz w:val="22"/>
                <w:szCs w:val="22"/>
                <w:lang w:val="en-US"/>
              </w:rPr>
              <w:t xml:space="preserve"> approaches can support climate change adaptation, reduce risks to disasters and </w:t>
            </w:r>
            <w:r w:rsidR="1D025097" w:rsidRPr="00B70DC1">
              <w:rPr>
                <w:rFonts w:ascii="Arial" w:eastAsia="Noto Sans SemiCondensed" w:hAnsi="Arial" w:cs="Arial"/>
                <w:sz w:val="22"/>
                <w:szCs w:val="22"/>
                <w:lang w:val="en-US"/>
              </w:rPr>
              <w:t>contribute to sustainable peace</w:t>
            </w:r>
            <w:r w:rsidR="68C3CB35" w:rsidRPr="00B70DC1">
              <w:rPr>
                <w:rFonts w:ascii="Arial" w:eastAsia="Noto Sans SemiCondensed" w:hAnsi="Arial" w:cs="Arial"/>
                <w:sz w:val="22"/>
                <w:szCs w:val="22"/>
                <w:lang w:val="en-US"/>
              </w:rPr>
              <w:t xml:space="preserve"> through integration into landscape planning scenarios for different time horizons. </w:t>
            </w:r>
          </w:p>
          <w:p w14:paraId="0D7FAA86" w14:textId="4B4300B4" w:rsidR="1032DF4E" w:rsidRPr="00B70DC1" w:rsidRDefault="1032DF4E" w:rsidP="1032DF4E">
            <w:pPr>
              <w:jc w:val="both"/>
              <w:rPr>
                <w:rFonts w:ascii="Arial" w:hAnsi="Arial" w:cs="Arial"/>
              </w:rPr>
            </w:pPr>
          </w:p>
          <w:p w14:paraId="74C64A3B" w14:textId="42F539D9" w:rsidR="00BE58D6" w:rsidRPr="00B70DC1" w:rsidRDefault="0065012F" w:rsidP="1032DF4E">
            <w:pPr>
              <w:jc w:val="both"/>
              <w:rPr>
                <w:rFonts w:ascii="Arial" w:hAnsi="Arial" w:cs="Arial"/>
                <w:b/>
                <w:bCs/>
                <w:sz w:val="22"/>
                <w:szCs w:val="22"/>
              </w:rPr>
            </w:pPr>
            <w:r w:rsidRPr="00B70DC1">
              <w:rPr>
                <w:rFonts w:ascii="Arial" w:hAnsi="Arial" w:cs="Arial"/>
                <w:b/>
                <w:bCs/>
                <w:sz w:val="22"/>
                <w:szCs w:val="22"/>
              </w:rPr>
              <w:t xml:space="preserve">Significance of the work for policy and practice </w:t>
            </w:r>
          </w:p>
          <w:p w14:paraId="1A078683" w14:textId="16363915" w:rsidR="00BE58D6" w:rsidRPr="00DD2B78" w:rsidRDefault="0B91F19D" w:rsidP="00DD2B78">
            <w:pPr>
              <w:spacing w:before="240" w:after="240"/>
              <w:jc w:val="both"/>
              <w:rPr>
                <w:rFonts w:ascii="Arial" w:hAnsi="Arial" w:cs="Arial"/>
              </w:rPr>
            </w:pPr>
            <w:r w:rsidRPr="00B70DC1">
              <w:rPr>
                <w:rFonts w:ascii="Arial" w:eastAsia="Noto Sans SemiCondensed" w:hAnsi="Arial" w:cs="Arial"/>
                <w:sz w:val="22"/>
                <w:szCs w:val="22"/>
                <w:lang w:val="en-US"/>
              </w:rPr>
              <w:t xml:space="preserve">Findings from this study provide actionable insights by demonstrating how vulnerability and fragility analyses shape SES and improve conditions for addressing both short- and long-term risk drivers. By integrating </w:t>
            </w:r>
            <w:proofErr w:type="spellStart"/>
            <w:r w:rsidRPr="00B70DC1">
              <w:rPr>
                <w:rFonts w:ascii="Arial" w:eastAsia="Noto Sans SemiCondensed" w:hAnsi="Arial" w:cs="Arial"/>
                <w:sz w:val="22"/>
                <w:szCs w:val="22"/>
                <w:lang w:val="en-US"/>
              </w:rPr>
              <w:t>NbS</w:t>
            </w:r>
            <w:proofErr w:type="spellEnd"/>
            <w:r w:rsidRPr="00B70DC1">
              <w:rPr>
                <w:rFonts w:ascii="Arial" w:eastAsia="Noto Sans SemiCondensed" w:hAnsi="Arial" w:cs="Arial"/>
                <w:sz w:val="22"/>
                <w:szCs w:val="22"/>
                <w:lang w:val="en-US"/>
              </w:rPr>
              <w:t xml:space="preserve"> into policy frameworks and linking adaptation initiatives with financial mechanisms, this research supports institutional changes that strengthen the long-term effectiveness of climate adaptation strategies.</w:t>
            </w:r>
          </w:p>
          <w:p w14:paraId="39AA1BB4" w14:textId="77777777" w:rsidR="00BE58D6" w:rsidRPr="00B70DC1" w:rsidRDefault="00BE58D6" w:rsidP="001E2B2C">
            <w:pPr>
              <w:jc w:val="both"/>
              <w:rPr>
                <w:rFonts w:ascii="Arial" w:hAnsi="Arial" w:cs="Arial"/>
                <w:b/>
                <w:sz w:val="22"/>
                <w:szCs w:val="22"/>
              </w:rPr>
            </w:pPr>
          </w:p>
          <w:p w14:paraId="2CBAECD6" w14:textId="729DADBB" w:rsidR="009F4EA0" w:rsidRPr="00B70DC1" w:rsidRDefault="009F4EA0" w:rsidP="001E2B2C">
            <w:pPr>
              <w:jc w:val="both"/>
              <w:rPr>
                <w:rFonts w:ascii="Arial" w:hAnsi="Arial" w:cs="Arial"/>
                <w:b/>
                <w:sz w:val="22"/>
                <w:szCs w:val="22"/>
              </w:rPr>
            </w:pPr>
          </w:p>
        </w:tc>
      </w:tr>
    </w:tbl>
    <w:p w14:paraId="14FC3BE1" w14:textId="1ED2D544" w:rsidR="00C8423A" w:rsidRPr="00B70DC1" w:rsidRDefault="00C8423A" w:rsidP="00375B20">
      <w:pPr>
        <w:tabs>
          <w:tab w:val="left" w:pos="8931"/>
        </w:tabs>
        <w:rPr>
          <w:rFonts w:ascii="Arial" w:hAnsi="Arial" w:cs="Arial"/>
        </w:rPr>
      </w:pPr>
    </w:p>
    <w:p w14:paraId="15AC9FEF" w14:textId="15B67474" w:rsidR="009010B0" w:rsidRPr="00B70DC1" w:rsidRDefault="009010B0" w:rsidP="00247C60">
      <w:pPr>
        <w:rPr>
          <w:rFonts w:ascii="Arial" w:hAnsi="Arial" w:cs="Arial"/>
        </w:rPr>
      </w:pPr>
    </w:p>
    <w:sectPr w:rsidR="009010B0" w:rsidRPr="00B70DC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emiCondense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0CC3FD"/>
    <w:multiLevelType w:val="hybridMultilevel"/>
    <w:tmpl w:val="9BDCF42E"/>
    <w:lvl w:ilvl="0" w:tplc="43769222">
      <w:start w:val="1"/>
      <w:numFmt w:val="bullet"/>
      <w:lvlText w:val="·"/>
      <w:lvlJc w:val="left"/>
      <w:pPr>
        <w:ind w:left="720" w:hanging="360"/>
      </w:pPr>
      <w:rPr>
        <w:rFonts w:ascii="Symbol" w:hAnsi="Symbol" w:hint="default"/>
      </w:rPr>
    </w:lvl>
    <w:lvl w:ilvl="1" w:tplc="CB8C3E50">
      <w:start w:val="1"/>
      <w:numFmt w:val="bullet"/>
      <w:lvlText w:val="o"/>
      <w:lvlJc w:val="left"/>
      <w:pPr>
        <w:ind w:left="1440" w:hanging="360"/>
      </w:pPr>
      <w:rPr>
        <w:rFonts w:ascii="Courier New" w:hAnsi="Courier New" w:hint="default"/>
      </w:rPr>
    </w:lvl>
    <w:lvl w:ilvl="2" w:tplc="0E7E4F58">
      <w:start w:val="1"/>
      <w:numFmt w:val="bullet"/>
      <w:lvlText w:val=""/>
      <w:lvlJc w:val="left"/>
      <w:pPr>
        <w:ind w:left="2160" w:hanging="360"/>
      </w:pPr>
      <w:rPr>
        <w:rFonts w:ascii="Wingdings" w:hAnsi="Wingdings" w:hint="default"/>
      </w:rPr>
    </w:lvl>
    <w:lvl w:ilvl="3" w:tplc="5F3053C2">
      <w:start w:val="1"/>
      <w:numFmt w:val="bullet"/>
      <w:lvlText w:val=""/>
      <w:lvlJc w:val="left"/>
      <w:pPr>
        <w:ind w:left="2880" w:hanging="360"/>
      </w:pPr>
      <w:rPr>
        <w:rFonts w:ascii="Symbol" w:hAnsi="Symbol" w:hint="default"/>
      </w:rPr>
    </w:lvl>
    <w:lvl w:ilvl="4" w:tplc="9AC2959A">
      <w:start w:val="1"/>
      <w:numFmt w:val="bullet"/>
      <w:lvlText w:val="o"/>
      <w:lvlJc w:val="left"/>
      <w:pPr>
        <w:ind w:left="3600" w:hanging="360"/>
      </w:pPr>
      <w:rPr>
        <w:rFonts w:ascii="Courier New" w:hAnsi="Courier New" w:hint="default"/>
      </w:rPr>
    </w:lvl>
    <w:lvl w:ilvl="5" w:tplc="AD541C8E">
      <w:start w:val="1"/>
      <w:numFmt w:val="bullet"/>
      <w:lvlText w:val=""/>
      <w:lvlJc w:val="left"/>
      <w:pPr>
        <w:ind w:left="4320" w:hanging="360"/>
      </w:pPr>
      <w:rPr>
        <w:rFonts w:ascii="Wingdings" w:hAnsi="Wingdings" w:hint="default"/>
      </w:rPr>
    </w:lvl>
    <w:lvl w:ilvl="6" w:tplc="BA68CBE4">
      <w:start w:val="1"/>
      <w:numFmt w:val="bullet"/>
      <w:lvlText w:val=""/>
      <w:lvlJc w:val="left"/>
      <w:pPr>
        <w:ind w:left="5040" w:hanging="360"/>
      </w:pPr>
      <w:rPr>
        <w:rFonts w:ascii="Symbol" w:hAnsi="Symbol" w:hint="default"/>
      </w:rPr>
    </w:lvl>
    <w:lvl w:ilvl="7" w:tplc="63AE816A">
      <w:start w:val="1"/>
      <w:numFmt w:val="bullet"/>
      <w:lvlText w:val="o"/>
      <w:lvlJc w:val="left"/>
      <w:pPr>
        <w:ind w:left="5760" w:hanging="360"/>
      </w:pPr>
      <w:rPr>
        <w:rFonts w:ascii="Courier New" w:hAnsi="Courier New" w:hint="default"/>
      </w:rPr>
    </w:lvl>
    <w:lvl w:ilvl="8" w:tplc="643A6D74">
      <w:start w:val="1"/>
      <w:numFmt w:val="bullet"/>
      <w:lvlText w:val=""/>
      <w:lvlJc w:val="left"/>
      <w:pPr>
        <w:ind w:left="6480" w:hanging="360"/>
      </w:pPr>
      <w:rPr>
        <w:rFonts w:ascii="Wingdings" w:hAnsi="Wingdings" w:hint="default"/>
      </w:rPr>
    </w:lvl>
  </w:abstractNum>
  <w:abstractNum w:abstractNumId="3" w15:restartNumberingAfterBreak="0">
    <w:nsid w:val="66B0CDED"/>
    <w:multiLevelType w:val="hybridMultilevel"/>
    <w:tmpl w:val="E77C2DAE"/>
    <w:lvl w:ilvl="0" w:tplc="C2B8886E">
      <w:start w:val="1"/>
      <w:numFmt w:val="bullet"/>
      <w:lvlText w:val="-"/>
      <w:lvlJc w:val="left"/>
      <w:pPr>
        <w:ind w:left="720" w:hanging="360"/>
      </w:pPr>
      <w:rPr>
        <w:rFonts w:ascii="Aptos" w:hAnsi="Aptos" w:hint="default"/>
      </w:rPr>
    </w:lvl>
    <w:lvl w:ilvl="1" w:tplc="5CE41846">
      <w:start w:val="1"/>
      <w:numFmt w:val="bullet"/>
      <w:lvlText w:val="o"/>
      <w:lvlJc w:val="left"/>
      <w:pPr>
        <w:ind w:left="1440" w:hanging="360"/>
      </w:pPr>
      <w:rPr>
        <w:rFonts w:ascii="Courier New" w:hAnsi="Courier New" w:hint="default"/>
      </w:rPr>
    </w:lvl>
    <w:lvl w:ilvl="2" w:tplc="A55EAB8E">
      <w:start w:val="1"/>
      <w:numFmt w:val="bullet"/>
      <w:lvlText w:val=""/>
      <w:lvlJc w:val="left"/>
      <w:pPr>
        <w:ind w:left="2160" w:hanging="360"/>
      </w:pPr>
      <w:rPr>
        <w:rFonts w:ascii="Wingdings" w:hAnsi="Wingdings" w:hint="default"/>
      </w:rPr>
    </w:lvl>
    <w:lvl w:ilvl="3" w:tplc="035897F8">
      <w:start w:val="1"/>
      <w:numFmt w:val="bullet"/>
      <w:lvlText w:val=""/>
      <w:lvlJc w:val="left"/>
      <w:pPr>
        <w:ind w:left="2880" w:hanging="360"/>
      </w:pPr>
      <w:rPr>
        <w:rFonts w:ascii="Symbol" w:hAnsi="Symbol" w:hint="default"/>
      </w:rPr>
    </w:lvl>
    <w:lvl w:ilvl="4" w:tplc="827C2DFC">
      <w:start w:val="1"/>
      <w:numFmt w:val="bullet"/>
      <w:lvlText w:val="o"/>
      <w:lvlJc w:val="left"/>
      <w:pPr>
        <w:ind w:left="3600" w:hanging="360"/>
      </w:pPr>
      <w:rPr>
        <w:rFonts w:ascii="Courier New" w:hAnsi="Courier New" w:hint="default"/>
      </w:rPr>
    </w:lvl>
    <w:lvl w:ilvl="5" w:tplc="6BB8E31C">
      <w:start w:val="1"/>
      <w:numFmt w:val="bullet"/>
      <w:lvlText w:val=""/>
      <w:lvlJc w:val="left"/>
      <w:pPr>
        <w:ind w:left="4320" w:hanging="360"/>
      </w:pPr>
      <w:rPr>
        <w:rFonts w:ascii="Wingdings" w:hAnsi="Wingdings" w:hint="default"/>
      </w:rPr>
    </w:lvl>
    <w:lvl w:ilvl="6" w:tplc="60C27454">
      <w:start w:val="1"/>
      <w:numFmt w:val="bullet"/>
      <w:lvlText w:val=""/>
      <w:lvlJc w:val="left"/>
      <w:pPr>
        <w:ind w:left="5040" w:hanging="360"/>
      </w:pPr>
      <w:rPr>
        <w:rFonts w:ascii="Symbol" w:hAnsi="Symbol" w:hint="default"/>
      </w:rPr>
    </w:lvl>
    <w:lvl w:ilvl="7" w:tplc="47E0B11C">
      <w:start w:val="1"/>
      <w:numFmt w:val="bullet"/>
      <w:lvlText w:val="o"/>
      <w:lvlJc w:val="left"/>
      <w:pPr>
        <w:ind w:left="5760" w:hanging="360"/>
      </w:pPr>
      <w:rPr>
        <w:rFonts w:ascii="Courier New" w:hAnsi="Courier New" w:hint="default"/>
      </w:rPr>
    </w:lvl>
    <w:lvl w:ilvl="8" w:tplc="FADA0D0E">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76041587">
    <w:abstractNumId w:val="3"/>
  </w:num>
  <w:num w:numId="2" w16cid:durableId="908808164">
    <w:abstractNumId w:val="2"/>
  </w:num>
  <w:num w:numId="3" w16cid:durableId="416439391">
    <w:abstractNumId w:val="0"/>
  </w:num>
  <w:num w:numId="4" w16cid:durableId="1027095654">
    <w:abstractNumId w:val="4"/>
  </w:num>
  <w:num w:numId="5"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11274"/>
    <w:rsid w:val="00132AE5"/>
    <w:rsid w:val="00155315"/>
    <w:rsid w:val="001E2B2C"/>
    <w:rsid w:val="00247C60"/>
    <w:rsid w:val="00256963"/>
    <w:rsid w:val="002838FE"/>
    <w:rsid w:val="002E3AA3"/>
    <w:rsid w:val="00317356"/>
    <w:rsid w:val="0034503D"/>
    <w:rsid w:val="00354C31"/>
    <w:rsid w:val="00375B20"/>
    <w:rsid w:val="00386D01"/>
    <w:rsid w:val="004049E7"/>
    <w:rsid w:val="00462B90"/>
    <w:rsid w:val="004828A0"/>
    <w:rsid w:val="004A75B0"/>
    <w:rsid w:val="004B69C7"/>
    <w:rsid w:val="004D193B"/>
    <w:rsid w:val="004F4CE8"/>
    <w:rsid w:val="004F5C81"/>
    <w:rsid w:val="0053222C"/>
    <w:rsid w:val="005469BD"/>
    <w:rsid w:val="00550B17"/>
    <w:rsid w:val="005854B8"/>
    <w:rsid w:val="005B35CE"/>
    <w:rsid w:val="0065012F"/>
    <w:rsid w:val="0068043B"/>
    <w:rsid w:val="00681CA7"/>
    <w:rsid w:val="0070186E"/>
    <w:rsid w:val="008235E8"/>
    <w:rsid w:val="008654A3"/>
    <w:rsid w:val="008773DF"/>
    <w:rsid w:val="008B01BA"/>
    <w:rsid w:val="008B50A0"/>
    <w:rsid w:val="008C0C35"/>
    <w:rsid w:val="008C22AD"/>
    <w:rsid w:val="008C2633"/>
    <w:rsid w:val="008E3D8D"/>
    <w:rsid w:val="008F2F93"/>
    <w:rsid w:val="009010B0"/>
    <w:rsid w:val="00906B39"/>
    <w:rsid w:val="00947DF9"/>
    <w:rsid w:val="00963443"/>
    <w:rsid w:val="009C374A"/>
    <w:rsid w:val="009E31F5"/>
    <w:rsid w:val="009F4EA0"/>
    <w:rsid w:val="00B026E8"/>
    <w:rsid w:val="00B70DC1"/>
    <w:rsid w:val="00BA0872"/>
    <w:rsid w:val="00BA26BB"/>
    <w:rsid w:val="00BC6810"/>
    <w:rsid w:val="00BE0B4D"/>
    <w:rsid w:val="00BE58D6"/>
    <w:rsid w:val="00C26081"/>
    <w:rsid w:val="00C4126D"/>
    <w:rsid w:val="00C76C99"/>
    <w:rsid w:val="00C8423A"/>
    <w:rsid w:val="00CE53FE"/>
    <w:rsid w:val="00D716AD"/>
    <w:rsid w:val="00DB7929"/>
    <w:rsid w:val="00DD1BB3"/>
    <w:rsid w:val="00DD2B78"/>
    <w:rsid w:val="00E612FF"/>
    <w:rsid w:val="00EB1B31"/>
    <w:rsid w:val="00F818D6"/>
    <w:rsid w:val="00FA372B"/>
    <w:rsid w:val="032BE301"/>
    <w:rsid w:val="05F7DF7D"/>
    <w:rsid w:val="061CDAAB"/>
    <w:rsid w:val="099990DB"/>
    <w:rsid w:val="0A15A828"/>
    <w:rsid w:val="0A800169"/>
    <w:rsid w:val="0AAA6F6D"/>
    <w:rsid w:val="0B91F19D"/>
    <w:rsid w:val="0EFF9B8A"/>
    <w:rsid w:val="0F9EED9E"/>
    <w:rsid w:val="0FF97292"/>
    <w:rsid w:val="1032DF4E"/>
    <w:rsid w:val="11872C79"/>
    <w:rsid w:val="11CAD80E"/>
    <w:rsid w:val="12BB3B78"/>
    <w:rsid w:val="12C13E16"/>
    <w:rsid w:val="14BC98F0"/>
    <w:rsid w:val="160895BA"/>
    <w:rsid w:val="1622C911"/>
    <w:rsid w:val="1A20B820"/>
    <w:rsid w:val="1D025097"/>
    <w:rsid w:val="1D0D8F82"/>
    <w:rsid w:val="1D854E76"/>
    <w:rsid w:val="1E012C4D"/>
    <w:rsid w:val="1EFC022C"/>
    <w:rsid w:val="1FE6D16B"/>
    <w:rsid w:val="206964AF"/>
    <w:rsid w:val="20B8D128"/>
    <w:rsid w:val="218C2907"/>
    <w:rsid w:val="2208C90D"/>
    <w:rsid w:val="2494326F"/>
    <w:rsid w:val="24B72EBB"/>
    <w:rsid w:val="2532AE8B"/>
    <w:rsid w:val="25EE2EDC"/>
    <w:rsid w:val="27BE689A"/>
    <w:rsid w:val="28032F33"/>
    <w:rsid w:val="28866E1E"/>
    <w:rsid w:val="28EF3A20"/>
    <w:rsid w:val="292825F5"/>
    <w:rsid w:val="29645A7B"/>
    <w:rsid w:val="29A9F694"/>
    <w:rsid w:val="2AA834EB"/>
    <w:rsid w:val="2AC5DE0A"/>
    <w:rsid w:val="2B3DB891"/>
    <w:rsid w:val="2C039E10"/>
    <w:rsid w:val="2CF5AA90"/>
    <w:rsid w:val="2D18B74A"/>
    <w:rsid w:val="2EC3A869"/>
    <w:rsid w:val="2ED6A612"/>
    <w:rsid w:val="2F4F3756"/>
    <w:rsid w:val="2F5821D4"/>
    <w:rsid w:val="2FBD8314"/>
    <w:rsid w:val="31BCEE12"/>
    <w:rsid w:val="342EAEC7"/>
    <w:rsid w:val="385C6219"/>
    <w:rsid w:val="393744A2"/>
    <w:rsid w:val="3BD1CFBB"/>
    <w:rsid w:val="3CA360C2"/>
    <w:rsid w:val="3D180EF6"/>
    <w:rsid w:val="3D8560A8"/>
    <w:rsid w:val="3DDD94B9"/>
    <w:rsid w:val="3E95943D"/>
    <w:rsid w:val="3EDA44B2"/>
    <w:rsid w:val="40E1BF54"/>
    <w:rsid w:val="4139A496"/>
    <w:rsid w:val="423DD490"/>
    <w:rsid w:val="42611128"/>
    <w:rsid w:val="42642D18"/>
    <w:rsid w:val="44CD4EE0"/>
    <w:rsid w:val="450E13C5"/>
    <w:rsid w:val="470F24F3"/>
    <w:rsid w:val="488A7F60"/>
    <w:rsid w:val="4904F8FC"/>
    <w:rsid w:val="49CAB049"/>
    <w:rsid w:val="49E152B9"/>
    <w:rsid w:val="4ABBA572"/>
    <w:rsid w:val="4C4B447E"/>
    <w:rsid w:val="4DEACA15"/>
    <w:rsid w:val="4E194DA4"/>
    <w:rsid w:val="4E5C28CE"/>
    <w:rsid w:val="4EBE8091"/>
    <w:rsid w:val="4FB4F8CB"/>
    <w:rsid w:val="5014B7FE"/>
    <w:rsid w:val="5127A24B"/>
    <w:rsid w:val="54B4B551"/>
    <w:rsid w:val="54B54D4F"/>
    <w:rsid w:val="54F010F1"/>
    <w:rsid w:val="5643171B"/>
    <w:rsid w:val="577B3CA4"/>
    <w:rsid w:val="58FD777F"/>
    <w:rsid w:val="59336BA9"/>
    <w:rsid w:val="5B84653B"/>
    <w:rsid w:val="5C2915B6"/>
    <w:rsid w:val="5C6CD70F"/>
    <w:rsid w:val="5C7EC513"/>
    <w:rsid w:val="5DFA38AB"/>
    <w:rsid w:val="5EF77D09"/>
    <w:rsid w:val="5F1FECBA"/>
    <w:rsid w:val="6097AC4F"/>
    <w:rsid w:val="60B43B47"/>
    <w:rsid w:val="648A6B85"/>
    <w:rsid w:val="64A8919D"/>
    <w:rsid w:val="64BFB8A6"/>
    <w:rsid w:val="65B14406"/>
    <w:rsid w:val="66144B4C"/>
    <w:rsid w:val="68C3CB35"/>
    <w:rsid w:val="6A54CC32"/>
    <w:rsid w:val="6A9EBAC4"/>
    <w:rsid w:val="6AF89E4D"/>
    <w:rsid w:val="6CFD5FD1"/>
    <w:rsid w:val="6D8ADE04"/>
    <w:rsid w:val="6DFCF315"/>
    <w:rsid w:val="6F26BE0B"/>
    <w:rsid w:val="6F5F593E"/>
    <w:rsid w:val="7058F2A4"/>
    <w:rsid w:val="7213273E"/>
    <w:rsid w:val="74333B40"/>
    <w:rsid w:val="74E8A44D"/>
    <w:rsid w:val="74ECE702"/>
    <w:rsid w:val="756B2A99"/>
    <w:rsid w:val="75F30C3C"/>
    <w:rsid w:val="766DE0F8"/>
    <w:rsid w:val="7708420C"/>
    <w:rsid w:val="78DADDF9"/>
    <w:rsid w:val="7941309E"/>
    <w:rsid w:val="7A88DEE8"/>
    <w:rsid w:val="7AEDFE8A"/>
    <w:rsid w:val="7B070142"/>
    <w:rsid w:val="7BBE1BBB"/>
    <w:rsid w:val="7BE9C580"/>
    <w:rsid w:val="7C70E8E4"/>
    <w:rsid w:val="7D0382B4"/>
    <w:rsid w:val="7E87F42B"/>
    <w:rsid w:val="7F2DCF75"/>
    <w:rsid w:val="7F88C28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D9A00345-B888-4A75-B317-C440508D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2006/documentManagement/types"/>
    <ds:schemaRef ds:uri="cab52c9b-ab33-4221-8af9-54f8f2b86a80"/>
    <ds:schemaRef ds:uri="9c8a2b7b-0bee-4c48-b0a6-23db8982d3bc"/>
    <ds:schemaRef ds:uri="http://www.w3.org/XML/1998/namespace"/>
    <ds:schemaRef ds:uri="http://purl.org/dc/terms/"/>
    <ds:schemaRef ds:uri="http://schemas.microsoft.com/office/infopath/2007/PartnerControls"/>
    <ds:schemaRef ds:uri="http://schemas.openxmlformats.org/package/2006/metadata/core-properties"/>
    <ds:schemaRef ds:uri="6911e96c-4cc4-42d5-8e43-f93924cf6a05"/>
    <ds:schemaRef ds:uri="http://purl.org/dc/dcmitype/"/>
    <ds:schemaRef ds:uri="http://purl.org/dc/elements/1.1/"/>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FBDA32A4-77D8-43B7-98AB-A9F6150A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13</cp:revision>
  <dcterms:created xsi:type="dcterms:W3CDTF">2024-09-16T21:56:00Z</dcterms:created>
  <dcterms:modified xsi:type="dcterms:W3CDTF">2025-08-08T05:17:00Z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