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EC9A" w14:textId="3F343C24" w:rsidR="002F665C" w:rsidRPr="002E357F" w:rsidRDefault="00DE765A" w:rsidP="002F665C">
      <w:pPr>
        <w:rPr>
          <w:rFonts w:ascii="Arial" w:hAnsi="Arial" w:cs="Arial"/>
          <w:b/>
          <w:bCs/>
          <w:sz w:val="22"/>
          <w:szCs w:val="22"/>
        </w:rPr>
      </w:pPr>
      <w:r w:rsidRPr="002E357F">
        <w:rPr>
          <w:rFonts w:ascii="Arial" w:hAnsi="Arial" w:cs="Arial"/>
          <w:b/>
          <w:bCs/>
          <w:sz w:val="22"/>
          <w:szCs w:val="22"/>
        </w:rPr>
        <w:t>Ineffectiveness</w:t>
      </w:r>
      <w:r w:rsidR="002F665C" w:rsidRPr="002E357F">
        <w:rPr>
          <w:rFonts w:ascii="Arial" w:hAnsi="Arial" w:cs="Arial"/>
          <w:b/>
          <w:bCs/>
          <w:sz w:val="22"/>
          <w:szCs w:val="22"/>
        </w:rPr>
        <w:t xml:space="preserve"> of a non-interrupti</w:t>
      </w:r>
      <w:r w:rsidR="00B46A51" w:rsidRPr="002E357F">
        <w:rPr>
          <w:rFonts w:ascii="Arial" w:hAnsi="Arial" w:cs="Arial"/>
          <w:b/>
          <w:bCs/>
          <w:sz w:val="22"/>
          <w:szCs w:val="22"/>
        </w:rPr>
        <w:t>ve</w:t>
      </w:r>
      <w:r w:rsidR="002F665C" w:rsidRPr="002E357F">
        <w:rPr>
          <w:rFonts w:ascii="Arial" w:hAnsi="Arial" w:cs="Arial"/>
          <w:b/>
          <w:bCs/>
          <w:sz w:val="22"/>
          <w:szCs w:val="22"/>
        </w:rPr>
        <w:t xml:space="preserve"> electronic medical record</w:t>
      </w:r>
      <w:r w:rsidR="00B46A51" w:rsidRPr="002E357F">
        <w:rPr>
          <w:rFonts w:ascii="Arial" w:hAnsi="Arial" w:cs="Arial"/>
          <w:b/>
          <w:bCs/>
          <w:sz w:val="22"/>
          <w:szCs w:val="22"/>
        </w:rPr>
        <w:t>-</w:t>
      </w:r>
      <w:r w:rsidR="002F665C" w:rsidRPr="002E357F">
        <w:rPr>
          <w:rFonts w:ascii="Arial" w:hAnsi="Arial" w:cs="Arial"/>
          <w:b/>
          <w:bCs/>
          <w:sz w:val="22"/>
          <w:szCs w:val="22"/>
        </w:rPr>
        <w:t>based clinical decision support alert for adverse inpatient glycaemia</w:t>
      </w:r>
    </w:p>
    <w:p w14:paraId="3E9C17B7" w14:textId="77777777" w:rsidR="002F665C" w:rsidRPr="002E357F" w:rsidRDefault="002F665C" w:rsidP="002F665C">
      <w:pPr>
        <w:rPr>
          <w:rFonts w:ascii="Arial" w:hAnsi="Arial" w:cs="Arial"/>
          <w:sz w:val="22"/>
          <w:szCs w:val="22"/>
        </w:rPr>
      </w:pPr>
    </w:p>
    <w:p w14:paraId="6FC57A66" w14:textId="75F5A363" w:rsidR="002F665C" w:rsidRPr="002E357F" w:rsidRDefault="002F665C" w:rsidP="00122B80">
      <w:pPr>
        <w:jc w:val="both"/>
        <w:rPr>
          <w:rFonts w:ascii="Arial" w:hAnsi="Arial" w:cs="Arial"/>
          <w:sz w:val="22"/>
          <w:szCs w:val="22"/>
        </w:rPr>
      </w:pPr>
      <w:r w:rsidRPr="002E357F">
        <w:rPr>
          <w:rFonts w:ascii="Arial" w:hAnsi="Arial" w:cs="Arial"/>
          <w:sz w:val="22"/>
          <w:szCs w:val="22"/>
        </w:rPr>
        <w:t xml:space="preserve">Objective: Hypo- and hyperglycaemia are two major issues for </w:t>
      </w:r>
      <w:r w:rsidR="00F466C1" w:rsidRPr="002E357F">
        <w:rPr>
          <w:rFonts w:ascii="Arial" w:hAnsi="Arial" w:cs="Arial"/>
          <w:sz w:val="22"/>
          <w:szCs w:val="22"/>
        </w:rPr>
        <w:t xml:space="preserve">hospital </w:t>
      </w:r>
      <w:proofErr w:type="spellStart"/>
      <w:r w:rsidR="00F466C1" w:rsidRPr="002E357F">
        <w:rPr>
          <w:rFonts w:ascii="Arial" w:hAnsi="Arial" w:cs="Arial"/>
          <w:sz w:val="22"/>
          <w:szCs w:val="22"/>
        </w:rPr>
        <w:t>in</w:t>
      </w:r>
      <w:r w:rsidRPr="002E357F">
        <w:rPr>
          <w:rFonts w:ascii="Arial" w:hAnsi="Arial" w:cs="Arial"/>
          <w:sz w:val="22"/>
          <w:szCs w:val="22"/>
        </w:rPr>
        <w:t>patients</w:t>
      </w:r>
      <w:proofErr w:type="spellEnd"/>
      <w:r w:rsidRPr="002E357F">
        <w:rPr>
          <w:rFonts w:ascii="Arial" w:hAnsi="Arial" w:cs="Arial"/>
          <w:sz w:val="22"/>
          <w:szCs w:val="22"/>
        </w:rPr>
        <w:t xml:space="preserve"> with diabetes resulting in increased complications, risk of mortality</w:t>
      </w:r>
      <w:r w:rsidR="00495F5D" w:rsidRPr="002E357F">
        <w:rPr>
          <w:rFonts w:ascii="Arial" w:hAnsi="Arial" w:cs="Arial"/>
          <w:sz w:val="22"/>
          <w:szCs w:val="22"/>
        </w:rPr>
        <w:t>,</w:t>
      </w:r>
      <w:r w:rsidRPr="002E357F">
        <w:rPr>
          <w:rFonts w:ascii="Arial" w:hAnsi="Arial" w:cs="Arial"/>
          <w:sz w:val="22"/>
          <w:szCs w:val="22"/>
        </w:rPr>
        <w:t xml:space="preserve"> and longer length of stay. We aimed to investigate whether implementation of a non-interrupti</w:t>
      </w:r>
      <w:r w:rsidR="009512E9" w:rsidRPr="002E357F">
        <w:rPr>
          <w:rFonts w:ascii="Arial" w:hAnsi="Arial" w:cs="Arial"/>
          <w:sz w:val="22"/>
          <w:szCs w:val="22"/>
        </w:rPr>
        <w:t>ve</w:t>
      </w:r>
      <w:r w:rsidRPr="002E357F">
        <w:rPr>
          <w:rFonts w:ascii="Arial" w:hAnsi="Arial" w:cs="Arial"/>
          <w:sz w:val="22"/>
          <w:szCs w:val="22"/>
        </w:rPr>
        <w:t xml:space="preserve"> </w:t>
      </w:r>
      <w:r w:rsidR="00A72E0E" w:rsidRPr="002E357F">
        <w:rPr>
          <w:rFonts w:ascii="Arial" w:hAnsi="Arial" w:cs="Arial"/>
          <w:sz w:val="22"/>
          <w:szCs w:val="22"/>
        </w:rPr>
        <w:t>electronic medical record (</w:t>
      </w:r>
      <w:r w:rsidRPr="002E357F">
        <w:rPr>
          <w:rFonts w:ascii="Arial" w:hAnsi="Arial" w:cs="Arial"/>
          <w:sz w:val="22"/>
          <w:szCs w:val="22"/>
        </w:rPr>
        <w:t>EMR</w:t>
      </w:r>
      <w:r w:rsidR="00A72E0E" w:rsidRPr="002E357F">
        <w:rPr>
          <w:rFonts w:ascii="Arial" w:hAnsi="Arial" w:cs="Arial"/>
          <w:sz w:val="22"/>
          <w:szCs w:val="22"/>
        </w:rPr>
        <w:t>)</w:t>
      </w:r>
      <w:r w:rsidRPr="002E357F">
        <w:rPr>
          <w:rFonts w:ascii="Arial" w:hAnsi="Arial" w:cs="Arial"/>
          <w:sz w:val="22"/>
          <w:szCs w:val="22"/>
        </w:rPr>
        <w:t>-based alert was associated with changes in medication prescribing for patients with hyper- or hypoglycaemic events.</w:t>
      </w:r>
    </w:p>
    <w:p w14:paraId="1B352994" w14:textId="77777777" w:rsidR="002F665C" w:rsidRPr="002E357F" w:rsidRDefault="002F665C" w:rsidP="00122B80">
      <w:pPr>
        <w:jc w:val="both"/>
        <w:rPr>
          <w:rFonts w:ascii="Arial" w:hAnsi="Arial" w:cs="Arial"/>
          <w:sz w:val="22"/>
          <w:szCs w:val="22"/>
        </w:rPr>
      </w:pPr>
    </w:p>
    <w:p w14:paraId="394226B1" w14:textId="1FB169C7" w:rsidR="002F665C" w:rsidRPr="002E357F" w:rsidRDefault="002F665C" w:rsidP="00122B80">
      <w:pPr>
        <w:jc w:val="both"/>
        <w:rPr>
          <w:rFonts w:ascii="Arial" w:hAnsi="Arial" w:cs="Arial"/>
          <w:sz w:val="22"/>
          <w:szCs w:val="22"/>
        </w:rPr>
      </w:pPr>
      <w:r w:rsidRPr="002E357F">
        <w:rPr>
          <w:rFonts w:ascii="Arial" w:hAnsi="Arial" w:cs="Arial"/>
          <w:sz w:val="22"/>
          <w:szCs w:val="22"/>
        </w:rPr>
        <w:t>Method: This study was conducted as a pre- and post- implementation analysis over three 6-week time periods: baseline (14/9/22-25/10/22), transition (26/10/22-6/12/22) and intervention (7/12/22-17/1/23)</w:t>
      </w:r>
      <w:r w:rsidR="00B2050F" w:rsidRPr="002E357F">
        <w:rPr>
          <w:rFonts w:ascii="Arial" w:hAnsi="Arial" w:cs="Arial"/>
          <w:sz w:val="22"/>
          <w:szCs w:val="22"/>
        </w:rPr>
        <w:t xml:space="preserve"> at The Royal Melbourne Hospital</w:t>
      </w:r>
      <w:r w:rsidRPr="002E357F">
        <w:rPr>
          <w:rFonts w:ascii="Arial" w:hAnsi="Arial" w:cs="Arial"/>
          <w:sz w:val="22"/>
          <w:szCs w:val="22"/>
        </w:rPr>
        <w:t>. A non-interrupti</w:t>
      </w:r>
      <w:r w:rsidR="00CC39E9" w:rsidRPr="002E357F">
        <w:rPr>
          <w:rFonts w:ascii="Arial" w:hAnsi="Arial" w:cs="Arial"/>
          <w:sz w:val="22"/>
          <w:szCs w:val="22"/>
        </w:rPr>
        <w:t>ve</w:t>
      </w:r>
      <w:r w:rsidRPr="002E357F">
        <w:rPr>
          <w:rFonts w:ascii="Arial" w:hAnsi="Arial" w:cs="Arial"/>
          <w:sz w:val="22"/>
          <w:szCs w:val="22"/>
        </w:rPr>
        <w:t xml:space="preserve"> alert for hypo- and hyperglycaemia was deployed through the hospital EMR through an architecture known as “Best Practice Advisories</w:t>
      </w:r>
      <w:r w:rsidR="004A3921" w:rsidRPr="002E357F">
        <w:rPr>
          <w:rFonts w:ascii="Arial" w:hAnsi="Arial" w:cs="Arial"/>
          <w:sz w:val="22"/>
          <w:szCs w:val="22"/>
        </w:rPr>
        <w:t>”</w:t>
      </w:r>
      <w:r w:rsidRPr="002E357F">
        <w:rPr>
          <w:rFonts w:ascii="Arial" w:hAnsi="Arial" w:cs="Arial"/>
          <w:sz w:val="22"/>
          <w:szCs w:val="22"/>
        </w:rPr>
        <w:t xml:space="preserve"> (BPA)</w:t>
      </w:r>
      <w:r w:rsidR="00E34CEF" w:rsidRPr="002E357F">
        <w:rPr>
          <w:rFonts w:ascii="Arial" w:hAnsi="Arial" w:cs="Arial"/>
          <w:sz w:val="22"/>
          <w:szCs w:val="22"/>
        </w:rPr>
        <w:t>,</w:t>
      </w:r>
      <w:r w:rsidRPr="002E357F">
        <w:rPr>
          <w:rFonts w:ascii="Arial" w:hAnsi="Arial" w:cs="Arial"/>
          <w:sz w:val="22"/>
          <w:szCs w:val="22"/>
        </w:rPr>
        <w:t xml:space="preserve"> which provided management recommendations.</w:t>
      </w:r>
      <w:r w:rsidR="00DC7DA6" w:rsidRPr="002E357F">
        <w:rPr>
          <w:rFonts w:ascii="Arial" w:hAnsi="Arial" w:cs="Arial"/>
          <w:sz w:val="22"/>
          <w:szCs w:val="22"/>
        </w:rPr>
        <w:t xml:space="preserve"> Non-interruptive deployment was </w:t>
      </w:r>
      <w:r w:rsidR="0017026F" w:rsidRPr="002E357F">
        <w:rPr>
          <w:rFonts w:ascii="Arial" w:hAnsi="Arial" w:cs="Arial"/>
          <w:sz w:val="22"/>
          <w:szCs w:val="22"/>
        </w:rPr>
        <w:t>hospital mandated</w:t>
      </w:r>
      <w:r w:rsidR="00DC7DA6" w:rsidRPr="002E357F">
        <w:rPr>
          <w:rFonts w:ascii="Arial" w:hAnsi="Arial" w:cs="Arial"/>
          <w:sz w:val="22"/>
          <w:szCs w:val="22"/>
        </w:rPr>
        <w:t xml:space="preserve"> to avoid ‘alert fatigue’.</w:t>
      </w:r>
      <w:r w:rsidRPr="002E357F">
        <w:rPr>
          <w:rFonts w:ascii="Arial" w:hAnsi="Arial" w:cs="Arial"/>
          <w:sz w:val="22"/>
          <w:szCs w:val="22"/>
        </w:rPr>
        <w:t xml:space="preserve"> The primary outcome was alert </w:t>
      </w:r>
      <w:r w:rsidR="006B4F03" w:rsidRPr="002E357F">
        <w:rPr>
          <w:rFonts w:ascii="Arial" w:hAnsi="Arial" w:cs="Arial"/>
          <w:sz w:val="22"/>
          <w:szCs w:val="22"/>
        </w:rPr>
        <w:t xml:space="preserve">acknowledgment </w:t>
      </w:r>
      <w:r w:rsidRPr="002E357F">
        <w:rPr>
          <w:rFonts w:ascii="Arial" w:hAnsi="Arial" w:cs="Arial"/>
          <w:sz w:val="22"/>
          <w:szCs w:val="22"/>
        </w:rPr>
        <w:t xml:space="preserve">and whether an action was taken. </w:t>
      </w:r>
      <w:r w:rsidR="00091AAA" w:rsidRPr="002E357F">
        <w:rPr>
          <w:rFonts w:ascii="Arial" w:hAnsi="Arial" w:cs="Arial"/>
          <w:sz w:val="22"/>
          <w:szCs w:val="22"/>
        </w:rPr>
        <w:t>S</w:t>
      </w:r>
      <w:r w:rsidRPr="002E357F">
        <w:rPr>
          <w:rFonts w:ascii="Arial" w:hAnsi="Arial" w:cs="Arial"/>
          <w:sz w:val="22"/>
          <w:szCs w:val="22"/>
        </w:rPr>
        <w:t>econdary outcome</w:t>
      </w:r>
      <w:r w:rsidR="00091AAA" w:rsidRPr="002E357F">
        <w:rPr>
          <w:rFonts w:ascii="Arial" w:hAnsi="Arial" w:cs="Arial"/>
          <w:sz w:val="22"/>
          <w:szCs w:val="22"/>
        </w:rPr>
        <w:t>s</w:t>
      </w:r>
      <w:r w:rsidRPr="002E357F">
        <w:rPr>
          <w:rFonts w:ascii="Arial" w:hAnsi="Arial" w:cs="Arial"/>
          <w:sz w:val="22"/>
          <w:szCs w:val="22"/>
        </w:rPr>
        <w:t xml:space="preserve"> </w:t>
      </w:r>
      <w:r w:rsidR="00091AAA" w:rsidRPr="002E357F">
        <w:rPr>
          <w:rFonts w:ascii="Arial" w:hAnsi="Arial" w:cs="Arial"/>
          <w:sz w:val="22"/>
          <w:szCs w:val="22"/>
        </w:rPr>
        <w:t>included</w:t>
      </w:r>
      <w:r w:rsidRPr="002E357F">
        <w:rPr>
          <w:rFonts w:ascii="Arial" w:hAnsi="Arial" w:cs="Arial"/>
          <w:sz w:val="22"/>
          <w:szCs w:val="22"/>
        </w:rPr>
        <w:t xml:space="preserve"> </w:t>
      </w:r>
      <w:r w:rsidR="00D201DB" w:rsidRPr="002E357F">
        <w:rPr>
          <w:rFonts w:ascii="Arial" w:hAnsi="Arial" w:cs="Arial"/>
          <w:sz w:val="22"/>
          <w:szCs w:val="22"/>
        </w:rPr>
        <w:t xml:space="preserve">changes </w:t>
      </w:r>
      <w:r w:rsidRPr="002E357F">
        <w:rPr>
          <w:rFonts w:ascii="Arial" w:hAnsi="Arial" w:cs="Arial"/>
          <w:sz w:val="22"/>
          <w:szCs w:val="22"/>
        </w:rPr>
        <w:t>in</w:t>
      </w:r>
      <w:r w:rsidR="00D201DB" w:rsidRPr="002E357F">
        <w:rPr>
          <w:rFonts w:ascii="Arial" w:hAnsi="Arial" w:cs="Arial"/>
          <w:sz w:val="22"/>
          <w:szCs w:val="22"/>
        </w:rPr>
        <w:t xml:space="preserve"> incidence and recurrence of</w:t>
      </w:r>
      <w:r w:rsidRPr="002E357F">
        <w:rPr>
          <w:rFonts w:ascii="Arial" w:hAnsi="Arial" w:cs="Arial"/>
          <w:sz w:val="22"/>
          <w:szCs w:val="22"/>
        </w:rPr>
        <w:t xml:space="preserve"> adverse glycaemic events.</w:t>
      </w:r>
    </w:p>
    <w:p w14:paraId="57102B5C" w14:textId="77777777" w:rsidR="002F665C" w:rsidRPr="002E357F" w:rsidRDefault="002F665C" w:rsidP="00122B80">
      <w:pPr>
        <w:jc w:val="both"/>
        <w:rPr>
          <w:rFonts w:ascii="Arial" w:hAnsi="Arial" w:cs="Arial"/>
          <w:sz w:val="22"/>
          <w:szCs w:val="22"/>
        </w:rPr>
      </w:pPr>
    </w:p>
    <w:p w14:paraId="39D31770" w14:textId="306A14F5" w:rsidR="002F665C" w:rsidRPr="002E357F" w:rsidRDefault="002F665C" w:rsidP="00122B80">
      <w:pPr>
        <w:jc w:val="both"/>
        <w:rPr>
          <w:rFonts w:ascii="Arial" w:hAnsi="Arial" w:cs="Arial"/>
          <w:sz w:val="22"/>
          <w:szCs w:val="22"/>
        </w:rPr>
      </w:pPr>
      <w:r w:rsidRPr="002E357F">
        <w:rPr>
          <w:rFonts w:ascii="Arial" w:hAnsi="Arial" w:cs="Arial"/>
          <w:sz w:val="22"/>
          <w:szCs w:val="22"/>
        </w:rPr>
        <w:t>Results: During the intervention period</w:t>
      </w:r>
      <w:r w:rsidR="00960764" w:rsidRPr="002E357F">
        <w:rPr>
          <w:rFonts w:ascii="Arial" w:hAnsi="Arial" w:cs="Arial"/>
          <w:sz w:val="22"/>
          <w:szCs w:val="22"/>
        </w:rPr>
        <w:t xml:space="preserve"> acknowledgement rates were </w:t>
      </w:r>
      <w:r w:rsidRPr="002E357F">
        <w:rPr>
          <w:rFonts w:ascii="Arial" w:hAnsi="Arial" w:cs="Arial"/>
          <w:sz w:val="22"/>
          <w:szCs w:val="22"/>
        </w:rPr>
        <w:t>1.0% (2/199)</w:t>
      </w:r>
      <w:r w:rsidR="007A32F9" w:rsidRPr="002E357F">
        <w:rPr>
          <w:rFonts w:ascii="Arial" w:hAnsi="Arial" w:cs="Arial"/>
          <w:sz w:val="22"/>
          <w:szCs w:val="22"/>
        </w:rPr>
        <w:t xml:space="preserve"> for hypoglycaemia</w:t>
      </w:r>
      <w:r w:rsidRPr="002E357F">
        <w:rPr>
          <w:rFonts w:ascii="Arial" w:hAnsi="Arial" w:cs="Arial"/>
          <w:sz w:val="22"/>
          <w:szCs w:val="22"/>
        </w:rPr>
        <w:t xml:space="preserve"> and 0.1% (1/852) </w:t>
      </w:r>
      <w:r w:rsidR="007A32F9" w:rsidRPr="002E357F">
        <w:rPr>
          <w:rFonts w:ascii="Arial" w:hAnsi="Arial" w:cs="Arial"/>
          <w:sz w:val="22"/>
          <w:szCs w:val="22"/>
        </w:rPr>
        <w:t>for hyperglycaemia</w:t>
      </w:r>
      <w:r w:rsidR="00667D79" w:rsidRPr="002E357F">
        <w:rPr>
          <w:rFonts w:ascii="Arial" w:hAnsi="Arial" w:cs="Arial"/>
          <w:sz w:val="22"/>
          <w:szCs w:val="22"/>
        </w:rPr>
        <w:t xml:space="preserve"> alerts</w:t>
      </w:r>
      <w:r w:rsidRPr="002E357F">
        <w:rPr>
          <w:rFonts w:ascii="Arial" w:hAnsi="Arial" w:cs="Arial"/>
          <w:sz w:val="22"/>
          <w:szCs w:val="22"/>
        </w:rPr>
        <w:t xml:space="preserve">. </w:t>
      </w:r>
      <w:r w:rsidR="003C70AE" w:rsidRPr="002E357F">
        <w:rPr>
          <w:rFonts w:ascii="Arial" w:hAnsi="Arial" w:cs="Arial"/>
          <w:sz w:val="22"/>
          <w:szCs w:val="22"/>
        </w:rPr>
        <w:t>I</w:t>
      </w:r>
      <w:r w:rsidRPr="002E357F">
        <w:rPr>
          <w:rFonts w:ascii="Arial" w:hAnsi="Arial" w:cs="Arial"/>
          <w:sz w:val="22"/>
          <w:szCs w:val="22"/>
        </w:rPr>
        <w:t xml:space="preserve">mplementation of the BPA </w:t>
      </w:r>
      <w:r w:rsidR="003C70AE" w:rsidRPr="002E357F">
        <w:rPr>
          <w:rFonts w:ascii="Arial" w:hAnsi="Arial" w:cs="Arial"/>
          <w:sz w:val="22"/>
          <w:szCs w:val="22"/>
        </w:rPr>
        <w:t xml:space="preserve">was associated with </w:t>
      </w:r>
      <w:r w:rsidRPr="002E357F">
        <w:rPr>
          <w:rFonts w:ascii="Arial" w:hAnsi="Arial" w:cs="Arial"/>
          <w:sz w:val="22"/>
          <w:szCs w:val="22"/>
        </w:rPr>
        <w:t>no significant</w:t>
      </w:r>
      <w:r w:rsidR="00FB6546" w:rsidRPr="002E357F">
        <w:rPr>
          <w:rFonts w:ascii="Arial" w:hAnsi="Arial" w:cs="Arial"/>
          <w:sz w:val="22"/>
          <w:szCs w:val="22"/>
        </w:rPr>
        <w:t xml:space="preserve"> change in </w:t>
      </w:r>
      <w:r w:rsidRPr="002E357F">
        <w:rPr>
          <w:rFonts w:ascii="Arial" w:hAnsi="Arial" w:cs="Arial"/>
          <w:sz w:val="22"/>
          <w:szCs w:val="22"/>
        </w:rPr>
        <w:t>medication</w:t>
      </w:r>
      <w:r w:rsidR="00FB6546" w:rsidRPr="002E357F">
        <w:rPr>
          <w:rFonts w:ascii="Arial" w:hAnsi="Arial" w:cs="Arial"/>
          <w:sz w:val="22"/>
          <w:szCs w:val="22"/>
        </w:rPr>
        <w:t xml:space="preserve"> modification</w:t>
      </w:r>
      <w:r w:rsidRPr="002E357F">
        <w:rPr>
          <w:rFonts w:ascii="Arial" w:hAnsi="Arial" w:cs="Arial"/>
          <w:sz w:val="22"/>
          <w:szCs w:val="22"/>
        </w:rPr>
        <w:t xml:space="preserve"> in response to a hypoglycaemic event</w:t>
      </w:r>
      <w:r w:rsidR="00FB6546" w:rsidRPr="002E357F">
        <w:rPr>
          <w:rFonts w:ascii="Arial" w:hAnsi="Arial" w:cs="Arial"/>
          <w:sz w:val="22"/>
          <w:szCs w:val="22"/>
        </w:rPr>
        <w:t xml:space="preserve"> (</w:t>
      </w:r>
      <w:r w:rsidR="00CF7E53" w:rsidRPr="002E357F">
        <w:rPr>
          <w:rFonts w:ascii="Arial" w:hAnsi="Arial" w:cs="Arial"/>
          <w:sz w:val="22"/>
          <w:szCs w:val="22"/>
        </w:rPr>
        <w:t>relative risk [</w:t>
      </w:r>
      <w:r w:rsidR="00FB6546" w:rsidRPr="002E357F">
        <w:rPr>
          <w:rFonts w:ascii="Arial" w:hAnsi="Arial" w:cs="Arial"/>
          <w:sz w:val="22"/>
          <w:szCs w:val="22"/>
        </w:rPr>
        <w:t>RR</w:t>
      </w:r>
      <w:r w:rsidR="00CF7E53" w:rsidRPr="002E357F">
        <w:rPr>
          <w:rFonts w:ascii="Arial" w:hAnsi="Arial" w:cs="Arial"/>
          <w:sz w:val="22"/>
          <w:szCs w:val="22"/>
        </w:rPr>
        <w:t>]</w:t>
      </w:r>
      <w:r w:rsidR="00FB6546" w:rsidRPr="002E357F">
        <w:rPr>
          <w:rFonts w:ascii="Arial" w:hAnsi="Arial" w:cs="Arial"/>
          <w:sz w:val="22"/>
          <w:szCs w:val="22"/>
        </w:rPr>
        <w:t xml:space="preserve"> 0.89</w:t>
      </w:r>
      <w:r w:rsidR="00CF7E53" w:rsidRPr="002E357F">
        <w:rPr>
          <w:rFonts w:ascii="Arial" w:hAnsi="Arial" w:cs="Arial"/>
          <w:sz w:val="22"/>
          <w:szCs w:val="22"/>
        </w:rPr>
        <w:t>,</w:t>
      </w:r>
      <w:r w:rsidR="00EF3703" w:rsidRPr="002E357F">
        <w:rPr>
          <w:rFonts w:ascii="Arial" w:hAnsi="Arial" w:cs="Arial"/>
          <w:sz w:val="22"/>
          <w:szCs w:val="22"/>
        </w:rPr>
        <w:t xml:space="preserve"> 95%CI</w:t>
      </w:r>
      <w:r w:rsidR="00FB6546" w:rsidRPr="002E357F">
        <w:rPr>
          <w:rFonts w:ascii="Arial" w:hAnsi="Arial" w:cs="Arial"/>
          <w:sz w:val="22"/>
          <w:szCs w:val="22"/>
        </w:rPr>
        <w:t xml:space="preserve"> 0.46</w:t>
      </w:r>
      <w:r w:rsidR="00CF7E53" w:rsidRPr="002E357F">
        <w:rPr>
          <w:rFonts w:ascii="Arial" w:hAnsi="Arial" w:cs="Arial"/>
          <w:sz w:val="22"/>
          <w:szCs w:val="22"/>
        </w:rPr>
        <w:t>-</w:t>
      </w:r>
      <w:r w:rsidR="00FB6546" w:rsidRPr="002E357F">
        <w:rPr>
          <w:rFonts w:ascii="Arial" w:hAnsi="Arial" w:cs="Arial"/>
          <w:sz w:val="22"/>
          <w:szCs w:val="22"/>
        </w:rPr>
        <w:t>1.67</w:t>
      </w:r>
      <w:r w:rsidRPr="002E357F">
        <w:rPr>
          <w:rFonts w:ascii="Arial" w:hAnsi="Arial" w:cs="Arial"/>
          <w:sz w:val="22"/>
          <w:szCs w:val="22"/>
        </w:rPr>
        <w:t>, p=0.68</w:t>
      </w:r>
      <w:r w:rsidR="00FB6546" w:rsidRPr="002E357F">
        <w:rPr>
          <w:rFonts w:ascii="Arial" w:hAnsi="Arial" w:cs="Arial"/>
          <w:sz w:val="22"/>
          <w:szCs w:val="22"/>
        </w:rPr>
        <w:t>)</w:t>
      </w:r>
      <w:r w:rsidRPr="002E357F">
        <w:rPr>
          <w:rFonts w:ascii="Arial" w:hAnsi="Arial" w:cs="Arial"/>
          <w:sz w:val="22"/>
          <w:szCs w:val="22"/>
        </w:rPr>
        <w:t xml:space="preserve"> or hyperglycaemic event</w:t>
      </w:r>
      <w:r w:rsidR="00FB6546" w:rsidRPr="002E357F">
        <w:rPr>
          <w:rFonts w:ascii="Arial" w:hAnsi="Arial" w:cs="Arial"/>
          <w:sz w:val="22"/>
          <w:szCs w:val="22"/>
        </w:rPr>
        <w:t xml:space="preserve"> (RR 0.69</w:t>
      </w:r>
      <w:r w:rsidR="00CF7E53" w:rsidRPr="002E357F">
        <w:rPr>
          <w:rFonts w:ascii="Arial" w:hAnsi="Arial" w:cs="Arial"/>
          <w:sz w:val="22"/>
          <w:szCs w:val="22"/>
        </w:rPr>
        <w:t>,</w:t>
      </w:r>
      <w:r w:rsidR="00FB6546" w:rsidRPr="002E357F">
        <w:rPr>
          <w:rFonts w:ascii="Arial" w:hAnsi="Arial" w:cs="Arial"/>
          <w:sz w:val="22"/>
          <w:szCs w:val="22"/>
        </w:rPr>
        <w:t xml:space="preserve"> </w:t>
      </w:r>
      <w:r w:rsidR="00EF3703" w:rsidRPr="002E357F">
        <w:rPr>
          <w:rFonts w:ascii="Arial" w:hAnsi="Arial" w:cs="Arial"/>
          <w:sz w:val="22"/>
          <w:szCs w:val="22"/>
        </w:rPr>
        <w:t xml:space="preserve">95%CI </w:t>
      </w:r>
      <w:r w:rsidR="00FB6546" w:rsidRPr="002E357F">
        <w:rPr>
          <w:rFonts w:ascii="Arial" w:hAnsi="Arial" w:cs="Arial"/>
          <w:sz w:val="22"/>
          <w:szCs w:val="22"/>
        </w:rPr>
        <w:t>0.39-1.20,</w:t>
      </w:r>
      <w:r w:rsidRPr="002E357F">
        <w:rPr>
          <w:rFonts w:ascii="Arial" w:hAnsi="Arial" w:cs="Arial"/>
          <w:sz w:val="22"/>
          <w:szCs w:val="22"/>
        </w:rPr>
        <w:t xml:space="preserve"> p=0.19</w:t>
      </w:r>
      <w:r w:rsidR="00FB6546" w:rsidRPr="002E357F">
        <w:rPr>
          <w:rFonts w:ascii="Arial" w:hAnsi="Arial" w:cs="Arial"/>
          <w:sz w:val="22"/>
          <w:szCs w:val="22"/>
        </w:rPr>
        <w:t>)</w:t>
      </w:r>
      <w:r w:rsidRPr="002E357F">
        <w:rPr>
          <w:rFonts w:ascii="Arial" w:hAnsi="Arial" w:cs="Arial"/>
          <w:sz w:val="22"/>
          <w:szCs w:val="22"/>
        </w:rPr>
        <w:t xml:space="preserve"> compared to baseline. </w:t>
      </w:r>
      <w:r w:rsidR="006B4F03" w:rsidRPr="002E357F">
        <w:rPr>
          <w:rFonts w:ascii="Arial" w:hAnsi="Arial" w:cs="Arial"/>
          <w:sz w:val="22"/>
          <w:szCs w:val="22"/>
        </w:rPr>
        <w:t>T</w:t>
      </w:r>
      <w:r w:rsidRPr="002E357F">
        <w:rPr>
          <w:rFonts w:ascii="Arial" w:hAnsi="Arial" w:cs="Arial"/>
          <w:sz w:val="22"/>
          <w:szCs w:val="22"/>
        </w:rPr>
        <w:t xml:space="preserve">here was no significant </w:t>
      </w:r>
      <w:r w:rsidR="00A65C77" w:rsidRPr="002E357F">
        <w:rPr>
          <w:rFonts w:ascii="Arial" w:hAnsi="Arial" w:cs="Arial"/>
          <w:sz w:val="22"/>
          <w:szCs w:val="22"/>
        </w:rPr>
        <w:t xml:space="preserve">difference </w:t>
      </w:r>
      <w:r w:rsidRPr="002E357F">
        <w:rPr>
          <w:rFonts w:ascii="Arial" w:hAnsi="Arial" w:cs="Arial"/>
          <w:sz w:val="22"/>
          <w:szCs w:val="22"/>
        </w:rPr>
        <w:t>in risk for hypoglycaemi</w:t>
      </w:r>
      <w:r w:rsidR="006B4F03" w:rsidRPr="002E357F">
        <w:rPr>
          <w:rFonts w:ascii="Arial" w:hAnsi="Arial" w:cs="Arial"/>
          <w:sz w:val="22"/>
          <w:szCs w:val="22"/>
        </w:rPr>
        <w:t>c</w:t>
      </w:r>
      <w:r w:rsidRPr="002E357F">
        <w:rPr>
          <w:rFonts w:ascii="Arial" w:hAnsi="Arial" w:cs="Arial"/>
          <w:sz w:val="22"/>
          <w:szCs w:val="22"/>
        </w:rPr>
        <w:t xml:space="preserve"> (RR 0.92</w:t>
      </w:r>
      <w:r w:rsidR="00F17DD1" w:rsidRPr="002E357F">
        <w:rPr>
          <w:rFonts w:ascii="Arial" w:hAnsi="Arial" w:cs="Arial"/>
          <w:sz w:val="22"/>
          <w:szCs w:val="22"/>
        </w:rPr>
        <w:t>, 95%CI</w:t>
      </w:r>
      <w:r w:rsidRPr="002E357F">
        <w:rPr>
          <w:rFonts w:ascii="Arial" w:hAnsi="Arial" w:cs="Arial"/>
          <w:sz w:val="22"/>
          <w:szCs w:val="22"/>
        </w:rPr>
        <w:t xml:space="preserve"> 0.40-2.10, p=0.84) or hyperglycaemi</w:t>
      </w:r>
      <w:r w:rsidR="006B4F03" w:rsidRPr="002E357F">
        <w:rPr>
          <w:rFonts w:ascii="Arial" w:hAnsi="Arial" w:cs="Arial"/>
          <w:sz w:val="22"/>
          <w:szCs w:val="22"/>
        </w:rPr>
        <w:t>c events</w:t>
      </w:r>
      <w:r w:rsidRPr="002E357F">
        <w:rPr>
          <w:rFonts w:ascii="Arial" w:hAnsi="Arial" w:cs="Arial"/>
          <w:sz w:val="22"/>
          <w:szCs w:val="22"/>
        </w:rPr>
        <w:t xml:space="preserve"> (RR 1.29</w:t>
      </w:r>
      <w:r w:rsidR="00F17DD1" w:rsidRPr="002E357F">
        <w:rPr>
          <w:rFonts w:ascii="Arial" w:hAnsi="Arial" w:cs="Arial"/>
          <w:sz w:val="22"/>
          <w:szCs w:val="22"/>
        </w:rPr>
        <w:t>, 95%CI</w:t>
      </w:r>
      <w:r w:rsidRPr="002E357F">
        <w:rPr>
          <w:rFonts w:ascii="Arial" w:hAnsi="Arial" w:cs="Arial"/>
          <w:sz w:val="22"/>
          <w:szCs w:val="22"/>
        </w:rPr>
        <w:t xml:space="preserve"> 0.78-2.11, p =0.32) between the intervention and baseline cohort</w:t>
      </w:r>
      <w:r w:rsidR="006A77B2" w:rsidRPr="002E357F">
        <w:rPr>
          <w:rFonts w:ascii="Arial" w:hAnsi="Arial" w:cs="Arial"/>
          <w:sz w:val="22"/>
          <w:szCs w:val="22"/>
        </w:rPr>
        <w:t>s</w:t>
      </w:r>
      <w:r w:rsidRPr="002E357F">
        <w:rPr>
          <w:rFonts w:ascii="Arial" w:hAnsi="Arial" w:cs="Arial"/>
          <w:sz w:val="22"/>
          <w:szCs w:val="22"/>
        </w:rPr>
        <w:t>.</w:t>
      </w:r>
    </w:p>
    <w:p w14:paraId="4824B8FC" w14:textId="77777777" w:rsidR="002F665C" w:rsidRPr="002E357F" w:rsidRDefault="002F665C" w:rsidP="00122B80">
      <w:pPr>
        <w:jc w:val="both"/>
        <w:rPr>
          <w:rFonts w:ascii="Arial" w:hAnsi="Arial" w:cs="Arial"/>
          <w:sz w:val="22"/>
          <w:szCs w:val="22"/>
        </w:rPr>
      </w:pPr>
    </w:p>
    <w:p w14:paraId="079CF191" w14:textId="6CE5BBE8" w:rsidR="002F665C" w:rsidRPr="002E357F" w:rsidRDefault="002F665C" w:rsidP="00122B80">
      <w:pPr>
        <w:jc w:val="both"/>
        <w:rPr>
          <w:rFonts w:ascii="Arial" w:hAnsi="Arial" w:cs="Arial"/>
          <w:sz w:val="22"/>
          <w:szCs w:val="22"/>
        </w:rPr>
      </w:pPr>
      <w:r w:rsidRPr="002E357F">
        <w:rPr>
          <w:rFonts w:ascii="Arial" w:hAnsi="Arial" w:cs="Arial"/>
          <w:sz w:val="22"/>
          <w:szCs w:val="22"/>
        </w:rPr>
        <w:t>Conclusion: The non-interrupti</w:t>
      </w:r>
      <w:r w:rsidR="00CC3C25" w:rsidRPr="002E357F">
        <w:rPr>
          <w:rFonts w:ascii="Arial" w:hAnsi="Arial" w:cs="Arial"/>
          <w:sz w:val="22"/>
          <w:szCs w:val="22"/>
        </w:rPr>
        <w:t>ve</w:t>
      </w:r>
      <w:r w:rsidRPr="002E357F">
        <w:rPr>
          <w:rFonts w:ascii="Arial" w:hAnsi="Arial" w:cs="Arial"/>
          <w:sz w:val="22"/>
          <w:szCs w:val="22"/>
        </w:rPr>
        <w:t xml:space="preserve"> BPA alert was not acknowledged in </w:t>
      </w:r>
      <w:r w:rsidR="00CC3C25" w:rsidRPr="002E357F">
        <w:rPr>
          <w:rFonts w:ascii="Arial" w:hAnsi="Arial" w:cs="Arial"/>
          <w:sz w:val="22"/>
          <w:szCs w:val="22"/>
        </w:rPr>
        <w:t>al</w:t>
      </w:r>
      <w:r w:rsidRPr="002E357F">
        <w:rPr>
          <w:rFonts w:ascii="Arial" w:hAnsi="Arial" w:cs="Arial"/>
          <w:sz w:val="22"/>
          <w:szCs w:val="22"/>
        </w:rPr>
        <w:t xml:space="preserve">most </w:t>
      </w:r>
      <w:r w:rsidR="00CC3C25" w:rsidRPr="002E357F">
        <w:rPr>
          <w:rFonts w:ascii="Arial" w:hAnsi="Arial" w:cs="Arial"/>
          <w:sz w:val="22"/>
          <w:szCs w:val="22"/>
        </w:rPr>
        <w:t xml:space="preserve">all </w:t>
      </w:r>
      <w:r w:rsidRPr="002E357F">
        <w:rPr>
          <w:rFonts w:ascii="Arial" w:hAnsi="Arial" w:cs="Arial"/>
          <w:sz w:val="22"/>
          <w:szCs w:val="22"/>
        </w:rPr>
        <w:t xml:space="preserve">cases and </w:t>
      </w:r>
      <w:r w:rsidR="00CC3C25" w:rsidRPr="002E357F">
        <w:rPr>
          <w:rFonts w:ascii="Arial" w:hAnsi="Arial" w:cs="Arial"/>
          <w:sz w:val="22"/>
          <w:szCs w:val="22"/>
        </w:rPr>
        <w:t xml:space="preserve">wasn’t associated with </w:t>
      </w:r>
      <w:r w:rsidRPr="002E357F">
        <w:rPr>
          <w:rFonts w:ascii="Arial" w:hAnsi="Arial" w:cs="Arial"/>
          <w:sz w:val="22"/>
          <w:szCs w:val="22"/>
        </w:rPr>
        <w:t>difference</w:t>
      </w:r>
      <w:r w:rsidR="00CC3C25" w:rsidRPr="002E357F">
        <w:rPr>
          <w:rFonts w:ascii="Arial" w:hAnsi="Arial" w:cs="Arial"/>
          <w:sz w:val="22"/>
          <w:szCs w:val="22"/>
        </w:rPr>
        <w:t>s</w:t>
      </w:r>
      <w:r w:rsidRPr="002E357F">
        <w:rPr>
          <w:rFonts w:ascii="Arial" w:hAnsi="Arial" w:cs="Arial"/>
          <w:sz w:val="22"/>
          <w:szCs w:val="22"/>
        </w:rPr>
        <w:t xml:space="preserve"> in medication prescribing patterns</w:t>
      </w:r>
      <w:r w:rsidR="00B46A3D" w:rsidRPr="002E357F">
        <w:rPr>
          <w:rFonts w:ascii="Arial" w:hAnsi="Arial" w:cs="Arial"/>
          <w:sz w:val="22"/>
          <w:szCs w:val="22"/>
        </w:rPr>
        <w:t xml:space="preserve"> or changes </w:t>
      </w:r>
      <w:r w:rsidRPr="002E357F">
        <w:rPr>
          <w:rFonts w:ascii="Arial" w:hAnsi="Arial" w:cs="Arial"/>
          <w:sz w:val="22"/>
          <w:szCs w:val="22"/>
        </w:rPr>
        <w:t>in adverse glycaemic events.</w:t>
      </w:r>
      <w:r w:rsidR="00706165" w:rsidRPr="002E357F">
        <w:rPr>
          <w:rFonts w:ascii="Arial" w:hAnsi="Arial" w:cs="Arial"/>
          <w:sz w:val="22"/>
          <w:szCs w:val="22"/>
        </w:rPr>
        <w:t xml:space="preserve"> It is likely that an interruptive alert would have resulted in greater changes, but at the cost of increased clinician ‘alert fatigue’.</w:t>
      </w:r>
      <w:r w:rsidRPr="002E357F">
        <w:rPr>
          <w:rFonts w:ascii="Arial" w:hAnsi="Arial" w:cs="Arial"/>
          <w:sz w:val="22"/>
          <w:szCs w:val="22"/>
        </w:rPr>
        <w:t xml:space="preserve"> The implement</w:t>
      </w:r>
      <w:r w:rsidR="00B516C7" w:rsidRPr="002E357F">
        <w:rPr>
          <w:rFonts w:ascii="Arial" w:hAnsi="Arial" w:cs="Arial"/>
          <w:sz w:val="22"/>
          <w:szCs w:val="22"/>
        </w:rPr>
        <w:t>ation of</w:t>
      </w:r>
      <w:r w:rsidRPr="002E357F">
        <w:rPr>
          <w:rFonts w:ascii="Arial" w:hAnsi="Arial" w:cs="Arial"/>
          <w:sz w:val="22"/>
          <w:szCs w:val="22"/>
        </w:rPr>
        <w:t xml:space="preserve"> technology into diabetes care</w:t>
      </w:r>
      <w:r w:rsidR="00647410" w:rsidRPr="002E357F">
        <w:rPr>
          <w:rFonts w:ascii="Arial" w:hAnsi="Arial" w:cs="Arial"/>
          <w:sz w:val="22"/>
          <w:szCs w:val="22"/>
        </w:rPr>
        <w:t xml:space="preserve"> holds promise</w:t>
      </w:r>
      <w:r w:rsidRPr="002E357F">
        <w:rPr>
          <w:rFonts w:ascii="Arial" w:hAnsi="Arial" w:cs="Arial"/>
          <w:sz w:val="22"/>
          <w:szCs w:val="22"/>
        </w:rPr>
        <w:t xml:space="preserve"> but further research is required to determine barriers to implementation and </w:t>
      </w:r>
      <w:r w:rsidR="00FE26E8" w:rsidRPr="002E357F">
        <w:rPr>
          <w:rFonts w:ascii="Arial" w:hAnsi="Arial" w:cs="Arial"/>
          <w:sz w:val="22"/>
          <w:szCs w:val="22"/>
        </w:rPr>
        <w:t>the characteristics of optimal deployment</w:t>
      </w:r>
      <w:r w:rsidRPr="002E357F">
        <w:rPr>
          <w:rFonts w:ascii="Arial" w:hAnsi="Arial" w:cs="Arial"/>
          <w:sz w:val="22"/>
          <w:szCs w:val="22"/>
        </w:rPr>
        <w:t>.</w:t>
      </w:r>
    </w:p>
    <w:p w14:paraId="62278941" w14:textId="2AEBEE44" w:rsidR="00C72DE5" w:rsidRDefault="00C72DE5" w:rsidP="002F665C"/>
    <w:p w14:paraId="2C178A3A" w14:textId="3771C33F" w:rsidR="002F665C" w:rsidRPr="00695424" w:rsidRDefault="002F665C" w:rsidP="002E357F">
      <w:pPr>
        <w:rPr>
          <w:b/>
          <w:bCs/>
        </w:rPr>
      </w:pPr>
    </w:p>
    <w:sectPr w:rsidR="002F665C" w:rsidRPr="00695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5C"/>
    <w:rsid w:val="00091AAA"/>
    <w:rsid w:val="000A090F"/>
    <w:rsid w:val="000D647D"/>
    <w:rsid w:val="00101D1D"/>
    <w:rsid w:val="00122B80"/>
    <w:rsid w:val="0017026F"/>
    <w:rsid w:val="001B5EC8"/>
    <w:rsid w:val="001D6F81"/>
    <w:rsid w:val="001F2079"/>
    <w:rsid w:val="002C0CB2"/>
    <w:rsid w:val="002E357F"/>
    <w:rsid w:val="002F665C"/>
    <w:rsid w:val="0030150E"/>
    <w:rsid w:val="0030396E"/>
    <w:rsid w:val="00340309"/>
    <w:rsid w:val="003479FE"/>
    <w:rsid w:val="00394E41"/>
    <w:rsid w:val="003C70AE"/>
    <w:rsid w:val="004031BC"/>
    <w:rsid w:val="00460B49"/>
    <w:rsid w:val="00465852"/>
    <w:rsid w:val="00495F5D"/>
    <w:rsid w:val="004A3921"/>
    <w:rsid w:val="00543314"/>
    <w:rsid w:val="005648C9"/>
    <w:rsid w:val="005B177D"/>
    <w:rsid w:val="005C71BB"/>
    <w:rsid w:val="005F7C9D"/>
    <w:rsid w:val="006113D5"/>
    <w:rsid w:val="00632F4E"/>
    <w:rsid w:val="00647410"/>
    <w:rsid w:val="00667D79"/>
    <w:rsid w:val="006A77B2"/>
    <w:rsid w:val="006B4F03"/>
    <w:rsid w:val="006C4622"/>
    <w:rsid w:val="006C763A"/>
    <w:rsid w:val="007019A6"/>
    <w:rsid w:val="00706165"/>
    <w:rsid w:val="007A32F9"/>
    <w:rsid w:val="007A5559"/>
    <w:rsid w:val="007C2D53"/>
    <w:rsid w:val="007F7241"/>
    <w:rsid w:val="00807B94"/>
    <w:rsid w:val="008A5458"/>
    <w:rsid w:val="008C2A82"/>
    <w:rsid w:val="008D2D57"/>
    <w:rsid w:val="0092170B"/>
    <w:rsid w:val="009512E9"/>
    <w:rsid w:val="00960764"/>
    <w:rsid w:val="00995E5D"/>
    <w:rsid w:val="009E1730"/>
    <w:rsid w:val="00A12971"/>
    <w:rsid w:val="00A65C77"/>
    <w:rsid w:val="00A72E0E"/>
    <w:rsid w:val="00AA75A2"/>
    <w:rsid w:val="00AB692A"/>
    <w:rsid w:val="00AC6687"/>
    <w:rsid w:val="00B2050F"/>
    <w:rsid w:val="00B46A3D"/>
    <w:rsid w:val="00B46A51"/>
    <w:rsid w:val="00B516C7"/>
    <w:rsid w:val="00BC216B"/>
    <w:rsid w:val="00C110EE"/>
    <w:rsid w:val="00C567A5"/>
    <w:rsid w:val="00C72DE5"/>
    <w:rsid w:val="00CC39E9"/>
    <w:rsid w:val="00CC3C25"/>
    <w:rsid w:val="00CF7E53"/>
    <w:rsid w:val="00D201DB"/>
    <w:rsid w:val="00D439DD"/>
    <w:rsid w:val="00D60534"/>
    <w:rsid w:val="00DC7DA6"/>
    <w:rsid w:val="00DE765A"/>
    <w:rsid w:val="00E01003"/>
    <w:rsid w:val="00E20F4B"/>
    <w:rsid w:val="00E34CEF"/>
    <w:rsid w:val="00EF3703"/>
    <w:rsid w:val="00F016BA"/>
    <w:rsid w:val="00F0391F"/>
    <w:rsid w:val="00F044FC"/>
    <w:rsid w:val="00F141EB"/>
    <w:rsid w:val="00F1630D"/>
    <w:rsid w:val="00F17DD1"/>
    <w:rsid w:val="00F31501"/>
    <w:rsid w:val="00F466C1"/>
    <w:rsid w:val="00F80E5F"/>
    <w:rsid w:val="00FB6546"/>
    <w:rsid w:val="00FE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4DA86"/>
  <w15:chartTrackingRefBased/>
  <w15:docId w15:val="{A47567E3-22B9-7F49-9EFC-5016AB80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6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6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6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6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6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6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65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1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Dharma</dc:creator>
  <cp:keywords/>
  <dc:description/>
  <cp:lastModifiedBy>Megan Dharma</cp:lastModifiedBy>
  <cp:revision>3</cp:revision>
  <dcterms:created xsi:type="dcterms:W3CDTF">2025-05-16T06:59:00Z</dcterms:created>
  <dcterms:modified xsi:type="dcterms:W3CDTF">2025-05-16T07:03:00Z</dcterms:modified>
</cp:coreProperties>
</file>