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C2C6013" w:rsidR="002B7FC8" w:rsidRPr="00242808" w:rsidRDefault="001C6EE2" w:rsidP="00C351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Starting </w:t>
            </w:r>
            <w:r w:rsidR="00C35167">
              <w:rPr>
                <w:rFonts w:ascii="Arial" w:hAnsi="Arial" w:cs="Arial"/>
                <w:b/>
                <w:sz w:val="22"/>
                <w:szCs w:val="22"/>
              </w:rPr>
              <w:t>early</w:t>
            </w:r>
            <w:r>
              <w:rPr>
                <w:rFonts w:ascii="Arial" w:hAnsi="Arial" w:cs="Arial"/>
                <w:b/>
                <w:sz w:val="22"/>
                <w:szCs w:val="22"/>
              </w:rPr>
              <w:t>: Promoting younger adolescents’ sexual and reproductive health</w:t>
            </w:r>
            <w:r w:rsidR="004C513E">
              <w:rPr>
                <w:rFonts w:ascii="Arial" w:hAnsi="Arial" w:cs="Arial"/>
                <w:b/>
                <w:sz w:val="22"/>
                <w:szCs w:val="22"/>
              </w:rPr>
              <w:t xml:space="preserve"> through intimate partner violence intervention</w:t>
            </w:r>
            <w:r w:rsidR="003718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C87551C" w14:textId="77777777" w:rsidR="00332729" w:rsidRDefault="004B7D91" w:rsidP="00047B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047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6ECAA84" w14:textId="54CCD629" w:rsidR="005B2E84" w:rsidRDefault="00D167D6" w:rsidP="00047B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suggests that </w:t>
            </w:r>
            <w:r w:rsidRPr="00D167D6">
              <w:rPr>
                <w:rFonts w:ascii="Arial" w:hAnsi="Arial" w:cs="Arial"/>
                <w:sz w:val="22"/>
                <w:szCs w:val="22"/>
              </w:rPr>
              <w:t>intimate partner violence</w:t>
            </w:r>
            <w:r w:rsidR="00502A82">
              <w:rPr>
                <w:rFonts w:ascii="Arial" w:hAnsi="Arial" w:cs="Arial"/>
                <w:sz w:val="22"/>
                <w:szCs w:val="22"/>
              </w:rPr>
              <w:t xml:space="preserve"> (IPV)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7D6">
              <w:rPr>
                <w:rFonts w:ascii="Arial" w:hAnsi="Arial" w:cs="Arial"/>
                <w:sz w:val="22"/>
                <w:szCs w:val="22"/>
              </w:rPr>
              <w:t>is experienced across age groups</w:t>
            </w:r>
            <w:r>
              <w:rPr>
                <w:rFonts w:ascii="Arial" w:hAnsi="Arial" w:cs="Arial"/>
                <w:sz w:val="22"/>
                <w:szCs w:val="22"/>
              </w:rPr>
              <w:t>. Yet</w:t>
            </w:r>
            <w:r w:rsidR="00E4366A">
              <w:rPr>
                <w:rFonts w:ascii="Arial" w:hAnsi="Arial" w:cs="Arial"/>
                <w:sz w:val="22"/>
                <w:szCs w:val="22"/>
              </w:rPr>
              <w:t>,</w:t>
            </w:r>
            <w:r w:rsidR="00EE6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2A82">
              <w:rPr>
                <w:rFonts w:ascii="Arial" w:hAnsi="Arial" w:cs="Arial"/>
                <w:sz w:val="22"/>
                <w:szCs w:val="22"/>
              </w:rPr>
              <w:t xml:space="preserve">it is often </w:t>
            </w:r>
            <w:r w:rsidR="001F1550">
              <w:rPr>
                <w:rFonts w:ascii="Arial" w:hAnsi="Arial" w:cs="Arial"/>
                <w:sz w:val="22"/>
                <w:szCs w:val="22"/>
              </w:rPr>
              <w:t xml:space="preserve">mistakenly </w:t>
            </w:r>
            <w:r w:rsidR="00502A82">
              <w:rPr>
                <w:rFonts w:ascii="Arial" w:hAnsi="Arial" w:cs="Arial"/>
                <w:sz w:val="22"/>
                <w:szCs w:val="22"/>
              </w:rPr>
              <w:t xml:space="preserve">assumed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5B2E84">
              <w:rPr>
                <w:rFonts w:ascii="Arial" w:hAnsi="Arial" w:cs="Arial"/>
                <w:sz w:val="22"/>
                <w:szCs w:val="22"/>
              </w:rPr>
              <w:t xml:space="preserve">IPV is not an issue for </w:t>
            </w:r>
            <w:r w:rsidR="00502A82">
              <w:rPr>
                <w:rFonts w:ascii="Arial" w:hAnsi="Arial" w:cs="Arial"/>
                <w:sz w:val="22"/>
                <w:szCs w:val="22"/>
              </w:rPr>
              <w:t>young</w:t>
            </w:r>
            <w:r w:rsidR="005B2E84">
              <w:rPr>
                <w:rFonts w:ascii="Arial" w:hAnsi="Arial" w:cs="Arial"/>
                <w:sz w:val="22"/>
                <w:szCs w:val="22"/>
              </w:rPr>
              <w:t>er</w:t>
            </w:r>
            <w:r>
              <w:rPr>
                <w:rFonts w:ascii="Arial" w:hAnsi="Arial" w:cs="Arial"/>
                <w:sz w:val="22"/>
                <w:szCs w:val="22"/>
              </w:rPr>
              <w:t xml:space="preserve"> adolescents </w:t>
            </w:r>
            <w:r w:rsidR="001F1550">
              <w:rPr>
                <w:rFonts w:ascii="Arial" w:hAnsi="Arial" w:cs="Arial"/>
                <w:sz w:val="22"/>
                <w:szCs w:val="22"/>
              </w:rPr>
              <w:t>(10-</w:t>
            </w:r>
            <w:r w:rsidRPr="00E4366A">
              <w:rPr>
                <w:rFonts w:ascii="Arial" w:hAnsi="Arial" w:cs="Arial"/>
                <w:sz w:val="22"/>
                <w:szCs w:val="22"/>
              </w:rPr>
              <w:t>14 year</w:t>
            </w:r>
            <w:r w:rsidR="001F1550">
              <w:rPr>
                <w:rFonts w:ascii="Arial" w:hAnsi="Arial" w:cs="Arial"/>
                <w:sz w:val="22"/>
                <w:szCs w:val="22"/>
              </w:rPr>
              <w:t>-olds</w:t>
            </w:r>
            <w:r w:rsidRPr="00E4366A">
              <w:rPr>
                <w:rFonts w:ascii="Arial" w:hAnsi="Arial" w:cs="Arial"/>
                <w:sz w:val="22"/>
                <w:szCs w:val="22"/>
              </w:rPr>
              <w:t>)</w:t>
            </w:r>
            <w:r w:rsidR="001F15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02A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E07">
              <w:rPr>
                <w:rFonts w:ascii="Arial" w:hAnsi="Arial" w:cs="Arial"/>
                <w:sz w:val="22"/>
                <w:szCs w:val="22"/>
              </w:rPr>
              <w:t xml:space="preserve">Interventions with this group therefore often focus narrowly on </w:t>
            </w:r>
            <w:r w:rsidR="00FD5E07" w:rsidRPr="00E4366A">
              <w:rPr>
                <w:rFonts w:ascii="Arial" w:hAnsi="Arial" w:cs="Arial"/>
                <w:sz w:val="22"/>
                <w:szCs w:val="22"/>
              </w:rPr>
              <w:t>‘stranger danger’ and intergenerational sexual abuse</w:t>
            </w:r>
            <w:r w:rsidR="00FD5E0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B2E84">
              <w:rPr>
                <w:rFonts w:ascii="Arial" w:hAnsi="Arial" w:cs="Arial"/>
                <w:sz w:val="22"/>
                <w:szCs w:val="22"/>
              </w:rPr>
              <w:t>This</w:t>
            </w:r>
            <w:r w:rsidR="001F1550">
              <w:rPr>
                <w:rFonts w:ascii="Arial" w:hAnsi="Arial" w:cs="Arial"/>
                <w:sz w:val="22"/>
                <w:szCs w:val="22"/>
              </w:rPr>
              <w:t xml:space="preserve"> oversight</w:t>
            </w:r>
            <w:r w:rsidR="005B2E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2729">
              <w:rPr>
                <w:rFonts w:ascii="Arial" w:hAnsi="Arial" w:cs="Arial"/>
                <w:sz w:val="22"/>
                <w:szCs w:val="22"/>
              </w:rPr>
              <w:t>is</w:t>
            </w:r>
            <w:r w:rsidR="005B2E84">
              <w:rPr>
                <w:rFonts w:ascii="Arial" w:hAnsi="Arial" w:cs="Arial"/>
                <w:sz w:val="22"/>
                <w:szCs w:val="22"/>
              </w:rPr>
              <w:t xml:space="preserve"> a critical gap in </w:t>
            </w:r>
            <w:r w:rsidR="00FD5E07">
              <w:rPr>
                <w:rFonts w:ascii="Arial" w:hAnsi="Arial" w:cs="Arial"/>
                <w:sz w:val="22"/>
                <w:szCs w:val="22"/>
              </w:rPr>
              <w:t>promoting</w:t>
            </w:r>
            <w:r w:rsidR="005B2E84">
              <w:rPr>
                <w:rFonts w:ascii="Arial" w:hAnsi="Arial" w:cs="Arial"/>
                <w:sz w:val="22"/>
                <w:szCs w:val="22"/>
              </w:rPr>
              <w:t xml:space="preserve"> the sexual and reproductive health </w:t>
            </w:r>
            <w:r w:rsidR="00374706">
              <w:rPr>
                <w:rFonts w:ascii="Arial" w:hAnsi="Arial" w:cs="Arial"/>
                <w:sz w:val="22"/>
                <w:szCs w:val="22"/>
              </w:rPr>
              <w:t xml:space="preserve">(SRH) </w:t>
            </w:r>
            <w:r w:rsidR="005B2E84">
              <w:rPr>
                <w:rFonts w:ascii="Arial" w:hAnsi="Arial" w:cs="Arial"/>
                <w:sz w:val="22"/>
                <w:szCs w:val="22"/>
              </w:rPr>
              <w:t>needs of younger</w:t>
            </w:r>
            <w:r w:rsidR="00374706">
              <w:rPr>
                <w:rFonts w:ascii="Arial" w:hAnsi="Arial" w:cs="Arial"/>
                <w:sz w:val="22"/>
                <w:szCs w:val="22"/>
              </w:rPr>
              <w:t xml:space="preserve"> adolescents. </w:t>
            </w:r>
            <w:r w:rsidR="00FD5E07">
              <w:rPr>
                <w:rFonts w:ascii="Arial" w:hAnsi="Arial" w:cs="Arial"/>
                <w:sz w:val="22"/>
                <w:szCs w:val="22"/>
              </w:rPr>
              <w:t>To address this disparity, m</w:t>
            </w:r>
            <w:r w:rsidR="00E50B06">
              <w:rPr>
                <w:rFonts w:ascii="Arial" w:hAnsi="Arial" w:cs="Arial"/>
                <w:sz w:val="22"/>
                <w:szCs w:val="22"/>
              </w:rPr>
              <w:t xml:space="preserve">ore research evidence is needed </w:t>
            </w:r>
            <w:r w:rsidR="00FD5E07">
              <w:rPr>
                <w:rFonts w:ascii="Arial" w:hAnsi="Arial" w:cs="Arial"/>
                <w:sz w:val="22"/>
                <w:szCs w:val="22"/>
              </w:rPr>
              <w:t>that</w:t>
            </w:r>
            <w:r w:rsidR="00E50B06">
              <w:rPr>
                <w:rFonts w:ascii="Arial" w:hAnsi="Arial" w:cs="Arial"/>
                <w:sz w:val="22"/>
                <w:szCs w:val="22"/>
              </w:rPr>
              <w:t xml:space="preserve"> considers the intersection of age and gender.</w:t>
            </w:r>
            <w:r w:rsidR="00046B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B31">
              <w:rPr>
                <w:rFonts w:ascii="Arial" w:hAnsi="Arial" w:cs="Arial"/>
                <w:sz w:val="22"/>
                <w:szCs w:val="22"/>
              </w:rPr>
              <w:t>Our</w:t>
            </w:r>
            <w:r w:rsidR="00E50B06" w:rsidRPr="00EE66E1">
              <w:rPr>
                <w:rFonts w:ascii="Arial" w:hAnsi="Arial" w:cs="Arial"/>
                <w:sz w:val="22"/>
                <w:szCs w:val="22"/>
              </w:rPr>
              <w:t xml:space="preserve"> research</w:t>
            </w:r>
            <w:r w:rsidR="00E50B06">
              <w:rPr>
                <w:rFonts w:ascii="Arial" w:hAnsi="Arial" w:cs="Arial"/>
                <w:sz w:val="22"/>
                <w:szCs w:val="22"/>
              </w:rPr>
              <w:t xml:space="preserve"> seeks to address this knowledge gap</w:t>
            </w:r>
            <w:r w:rsidR="00046BEA">
              <w:rPr>
                <w:rFonts w:ascii="Arial" w:hAnsi="Arial" w:cs="Arial"/>
                <w:sz w:val="22"/>
                <w:szCs w:val="22"/>
              </w:rPr>
              <w:t xml:space="preserve"> and inform evidence-based interventions </w:t>
            </w:r>
            <w:r w:rsidR="00FD5E07">
              <w:rPr>
                <w:rFonts w:ascii="Arial" w:hAnsi="Arial" w:cs="Arial"/>
                <w:sz w:val="22"/>
                <w:szCs w:val="22"/>
              </w:rPr>
              <w:t>that meet</w:t>
            </w:r>
            <w:r w:rsidR="00FD5E07" w:rsidRPr="00FD5E07">
              <w:rPr>
                <w:rFonts w:ascii="Arial" w:hAnsi="Arial" w:cs="Arial"/>
                <w:sz w:val="22"/>
                <w:szCs w:val="22"/>
              </w:rPr>
              <w:t xml:space="preserve"> younger adolescents’ distinctive sexual and reproductive health needs, challenges, and emerging threats, including that of IPV</w:t>
            </w:r>
            <w:r w:rsidR="00FD5E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5DB353" w14:textId="77777777" w:rsidR="00046BEA" w:rsidRDefault="00046BEA" w:rsidP="00046BEA">
            <w:pPr>
              <w:pStyle w:val="Default"/>
            </w:pPr>
          </w:p>
          <w:p w14:paraId="203A3B53" w14:textId="77777777" w:rsidR="00332729" w:rsidRDefault="004B7D91" w:rsidP="00047B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047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5A" w14:textId="276705C7" w:rsidR="00DA7A71" w:rsidRPr="00EE66E1" w:rsidRDefault="00047B31" w:rsidP="00047B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research presented forms part of an </w:t>
            </w:r>
            <w:r w:rsidRPr="00EE66E1">
              <w:rPr>
                <w:rFonts w:ascii="Arial" w:hAnsi="Arial" w:cs="Arial"/>
                <w:sz w:val="22"/>
                <w:szCs w:val="22"/>
              </w:rPr>
              <w:t xml:space="preserve">assessment of </w:t>
            </w:r>
            <w:r>
              <w:rPr>
                <w:rFonts w:ascii="Arial" w:hAnsi="Arial" w:cs="Arial"/>
                <w:sz w:val="22"/>
                <w:szCs w:val="22"/>
              </w:rPr>
              <w:t>a five-year pilot intervention—</w:t>
            </w:r>
            <w:r w:rsidRPr="00EE66E1">
              <w:rPr>
                <w:rFonts w:ascii="Arial" w:hAnsi="Arial" w:cs="Arial"/>
                <w:sz w:val="22"/>
                <w:szCs w:val="22"/>
              </w:rPr>
              <w:t>the Sexual Viol</w:t>
            </w:r>
            <w:r>
              <w:rPr>
                <w:rFonts w:ascii="Arial" w:hAnsi="Arial" w:cs="Arial"/>
                <w:sz w:val="22"/>
                <w:szCs w:val="22"/>
              </w:rPr>
              <w:t>ence in Schools in South Africa programme—</w:t>
            </w:r>
            <w:r w:rsidRPr="00EE66E1">
              <w:rPr>
                <w:rFonts w:ascii="Arial" w:hAnsi="Arial" w:cs="Arial"/>
                <w:sz w:val="22"/>
                <w:szCs w:val="22"/>
              </w:rPr>
              <w:t xml:space="preserve">implemented by </w:t>
            </w:r>
            <w:r w:rsidRPr="00EE66E1">
              <w:rPr>
                <w:rFonts w:ascii="Arial" w:hAnsi="Arial" w:cs="Arial"/>
                <w:i/>
                <w:sz w:val="22"/>
                <w:szCs w:val="22"/>
              </w:rPr>
              <w:t>Grassroot Soccer</w:t>
            </w:r>
            <w:r w:rsidRPr="00EE66E1">
              <w:rPr>
                <w:rFonts w:ascii="Arial" w:hAnsi="Arial" w:cs="Arial"/>
                <w:sz w:val="22"/>
                <w:szCs w:val="22"/>
              </w:rPr>
              <w:t xml:space="preserve"> and the </w:t>
            </w:r>
            <w:r w:rsidRPr="00EE66E1">
              <w:rPr>
                <w:rFonts w:ascii="Arial" w:hAnsi="Arial" w:cs="Arial"/>
                <w:i/>
                <w:sz w:val="22"/>
                <w:szCs w:val="22"/>
              </w:rPr>
              <w:t>Soul City Institute</w:t>
            </w:r>
            <w:r w:rsidRPr="00EE66E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E07">
              <w:rPr>
                <w:rFonts w:ascii="Arial" w:hAnsi="Arial" w:cs="Arial"/>
                <w:sz w:val="22"/>
                <w:szCs w:val="22"/>
                <w:lang w:val="en-ZA"/>
              </w:rPr>
              <w:t xml:space="preserve">As part of this evaluation study, qualitative data were generated at </w:t>
            </w:r>
            <w:r w:rsidR="00332729">
              <w:rPr>
                <w:rFonts w:ascii="Arial" w:hAnsi="Arial" w:cs="Arial"/>
                <w:sz w:val="22"/>
                <w:szCs w:val="22"/>
                <w:lang w:val="en-ZA"/>
              </w:rPr>
              <w:t>baseline</w:t>
            </w:r>
            <w:r w:rsidR="00FD5E07">
              <w:rPr>
                <w:rFonts w:ascii="Arial" w:hAnsi="Arial" w:cs="Arial"/>
                <w:sz w:val="22"/>
                <w:szCs w:val="22"/>
                <w:lang w:val="en-ZA"/>
              </w:rPr>
              <w:t xml:space="preserve"> and mid-term with learners </w:t>
            </w:r>
            <w:r w:rsidR="004728C0">
              <w:rPr>
                <w:rFonts w:ascii="Arial" w:hAnsi="Arial" w:cs="Arial"/>
                <w:sz w:val="22"/>
                <w:szCs w:val="22"/>
                <w:lang w:val="en-ZA"/>
              </w:rPr>
              <w:t>from selected</w:t>
            </w:r>
            <w:r w:rsidR="00FD5E07" w:rsidRPr="00FD5E07">
              <w:rPr>
                <w:rFonts w:ascii="Arial" w:hAnsi="Arial" w:cs="Arial"/>
                <w:sz w:val="22"/>
                <w:szCs w:val="22"/>
                <w:lang w:val="en-ZA"/>
              </w:rPr>
              <w:t xml:space="preserve"> primary schools</w:t>
            </w:r>
            <w:r w:rsidR="00FD5E07">
              <w:rPr>
                <w:rFonts w:ascii="Arial" w:hAnsi="Arial" w:cs="Arial"/>
                <w:sz w:val="22"/>
                <w:szCs w:val="22"/>
                <w:lang w:val="en-ZA"/>
              </w:rPr>
              <w:t xml:space="preserve">. </w:t>
            </w:r>
            <w:r w:rsidR="00C35167" w:rsidRPr="00C35167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4728C0">
              <w:rPr>
                <w:rFonts w:ascii="Arial" w:hAnsi="Arial" w:cs="Arial"/>
                <w:sz w:val="22"/>
                <w:szCs w:val="22"/>
              </w:rPr>
              <w:t xml:space="preserve">collection </w:t>
            </w:r>
            <w:r w:rsidR="00C35167" w:rsidRPr="00C35167">
              <w:rPr>
                <w:rFonts w:ascii="Arial" w:hAnsi="Arial" w:cs="Arial"/>
                <w:sz w:val="22"/>
                <w:szCs w:val="22"/>
              </w:rPr>
              <w:t xml:space="preserve">during the midterm assessment was designed to be responsive to </w:t>
            </w:r>
            <w:r w:rsidR="00390B3C">
              <w:rPr>
                <w:rFonts w:ascii="Arial" w:hAnsi="Arial" w:cs="Arial"/>
                <w:sz w:val="22"/>
                <w:szCs w:val="22"/>
              </w:rPr>
              <w:t>age-related vulnerabilities</w:t>
            </w:r>
            <w:r w:rsidR="004728C0">
              <w:rPr>
                <w:rFonts w:ascii="Arial" w:hAnsi="Arial" w:cs="Arial"/>
                <w:sz w:val="22"/>
                <w:szCs w:val="22"/>
              </w:rPr>
              <w:t xml:space="preserve">, given the </w:t>
            </w:r>
            <w:r w:rsidR="004728C0" w:rsidRPr="004728C0">
              <w:rPr>
                <w:rFonts w:ascii="Arial" w:hAnsi="Arial" w:cs="Arial"/>
                <w:sz w:val="22"/>
                <w:szCs w:val="22"/>
                <w:lang w:val="en-ZA"/>
              </w:rPr>
              <w:t xml:space="preserve">large </w:t>
            </w:r>
            <w:r w:rsidR="004728C0">
              <w:rPr>
                <w:rFonts w:ascii="Arial" w:hAnsi="Arial" w:cs="Arial"/>
                <w:sz w:val="22"/>
                <w:szCs w:val="22"/>
                <w:lang w:val="en-ZA"/>
              </w:rPr>
              <w:t xml:space="preserve">proportion </w:t>
            </w:r>
            <w:r w:rsidR="004728C0" w:rsidRPr="004728C0">
              <w:rPr>
                <w:rFonts w:ascii="Arial" w:hAnsi="Arial" w:cs="Arial"/>
                <w:sz w:val="22"/>
                <w:szCs w:val="22"/>
                <w:lang w:val="en-ZA"/>
              </w:rPr>
              <w:t xml:space="preserve">of younger adolescents </w:t>
            </w:r>
            <w:r w:rsidR="004728C0">
              <w:rPr>
                <w:rFonts w:ascii="Arial" w:hAnsi="Arial" w:cs="Arial"/>
                <w:sz w:val="22"/>
                <w:szCs w:val="22"/>
                <w:lang w:val="en-ZA"/>
              </w:rPr>
              <w:t>who reported having experienced</w:t>
            </w:r>
            <w:r w:rsidR="004728C0" w:rsidRPr="004728C0">
              <w:rPr>
                <w:rFonts w:ascii="Arial" w:hAnsi="Arial" w:cs="Arial"/>
                <w:sz w:val="22"/>
                <w:szCs w:val="22"/>
                <w:lang w:val="en-ZA"/>
              </w:rPr>
              <w:t xml:space="preserve"> different forms of intimate partner violence </w:t>
            </w:r>
            <w:r w:rsidR="004728C0">
              <w:rPr>
                <w:rFonts w:ascii="Arial" w:hAnsi="Arial" w:cs="Arial"/>
                <w:sz w:val="22"/>
                <w:szCs w:val="22"/>
                <w:lang w:val="en-ZA"/>
              </w:rPr>
              <w:t>at baseline</w:t>
            </w:r>
            <w:r w:rsidR="004728C0" w:rsidRPr="004728C0">
              <w:rPr>
                <w:rFonts w:ascii="Arial" w:hAnsi="Arial" w:cs="Arial"/>
                <w:sz w:val="22"/>
                <w:szCs w:val="22"/>
                <w:lang w:val="en-ZA"/>
              </w:rPr>
              <w:t>.</w:t>
            </w:r>
            <w:r w:rsidR="004728C0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r w:rsidR="00C35167">
              <w:rPr>
                <w:rFonts w:ascii="Arial" w:hAnsi="Arial" w:cs="Arial"/>
                <w:sz w:val="22"/>
                <w:szCs w:val="22"/>
              </w:rPr>
              <w:t>Participatory data collection method</w:t>
            </w:r>
            <w:r w:rsidR="004728C0">
              <w:rPr>
                <w:rFonts w:ascii="Arial" w:hAnsi="Arial" w:cs="Arial"/>
                <w:sz w:val="22"/>
                <w:szCs w:val="22"/>
              </w:rPr>
              <w:t>s (</w:t>
            </w:r>
            <w:r w:rsidR="00390B3C">
              <w:rPr>
                <w:rFonts w:ascii="Arial" w:hAnsi="Arial" w:cs="Arial"/>
                <w:sz w:val="22"/>
                <w:szCs w:val="22"/>
              </w:rPr>
              <w:t>s</w:t>
            </w:r>
            <w:r w:rsidR="004728C0">
              <w:rPr>
                <w:rFonts w:ascii="Arial" w:hAnsi="Arial" w:cs="Arial"/>
                <w:sz w:val="22"/>
                <w:szCs w:val="22"/>
              </w:rPr>
              <w:t>tory-telling, participatory mapping, ‘explore or ignore’ discussions)</w:t>
            </w:r>
            <w:r w:rsidR="00C351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8C0">
              <w:rPr>
                <w:rFonts w:ascii="Arial" w:hAnsi="Arial" w:cs="Arial"/>
                <w:sz w:val="22"/>
                <w:szCs w:val="22"/>
              </w:rPr>
              <w:t xml:space="preserve">were used. These provide an engaging, less threatening way for younger participants to discuss potentially sensitive topics.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BAD4E" w14:textId="77777777" w:rsidR="003327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047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6CE570D6" w14:textId="082B2003" w:rsidR="00390B3C" w:rsidRPr="00390B3C" w:rsidRDefault="004728C0" w:rsidP="00390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data were analysed thematically using </w:t>
            </w:r>
            <w:r w:rsidRPr="004728C0">
              <w:rPr>
                <w:rFonts w:ascii="Arial" w:hAnsi="Arial" w:cs="Arial"/>
                <w:sz w:val="22"/>
                <w:szCs w:val="22"/>
              </w:rPr>
              <w:t>a deductive, critical, and constructionist approach</w:t>
            </w:r>
            <w:r>
              <w:rPr>
                <w:rFonts w:ascii="Arial" w:hAnsi="Arial" w:cs="Arial"/>
                <w:sz w:val="22"/>
                <w:szCs w:val="22"/>
              </w:rPr>
              <w:t xml:space="preserve">, rooted in feminist theory. </w:t>
            </w:r>
            <w:r w:rsidR="00047B31" w:rsidRPr="00047B31">
              <w:rPr>
                <w:rFonts w:ascii="Arial" w:hAnsi="Arial" w:cs="Arial"/>
                <w:sz w:val="22"/>
                <w:szCs w:val="22"/>
              </w:rPr>
              <w:t>Findings</w:t>
            </w:r>
            <w:r w:rsidR="00047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728C0">
              <w:rPr>
                <w:rFonts w:ascii="Arial" w:hAnsi="Arial" w:cs="Arial"/>
                <w:sz w:val="22"/>
                <w:szCs w:val="22"/>
              </w:rPr>
              <w:t>demonstrate that younge</w:t>
            </w:r>
            <w:r>
              <w:rPr>
                <w:rFonts w:ascii="Arial" w:hAnsi="Arial" w:cs="Arial"/>
                <w:sz w:val="22"/>
                <w:szCs w:val="22"/>
              </w:rPr>
              <w:t>r learners' understanding</w:t>
            </w:r>
            <w:r w:rsidR="00390B3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4728C0">
              <w:rPr>
                <w:rFonts w:ascii="Arial" w:hAnsi="Arial" w:cs="Arial"/>
                <w:sz w:val="22"/>
                <w:szCs w:val="22"/>
              </w:rPr>
              <w:t xml:space="preserve">dating, relationships and sexual practices </w:t>
            </w:r>
            <w:r w:rsidR="00390B3C">
              <w:rPr>
                <w:rFonts w:ascii="Arial" w:hAnsi="Arial" w:cs="Arial"/>
                <w:sz w:val="22"/>
                <w:szCs w:val="22"/>
              </w:rPr>
              <w:t>are</w:t>
            </w:r>
            <w:r w:rsidRPr="004728C0">
              <w:rPr>
                <w:rFonts w:ascii="Arial" w:hAnsi="Arial" w:cs="Arial"/>
                <w:sz w:val="22"/>
                <w:szCs w:val="22"/>
              </w:rPr>
              <w:t xml:space="preserve"> informed by the broader socio-cultural discourses around norma</w:t>
            </w:r>
            <w:r w:rsidR="00390B3C">
              <w:rPr>
                <w:rFonts w:ascii="Arial" w:hAnsi="Arial" w:cs="Arial"/>
                <w:sz w:val="22"/>
                <w:szCs w:val="22"/>
              </w:rPr>
              <w:t>tive masculinities and femininities</w:t>
            </w:r>
            <w:r>
              <w:rPr>
                <w:rFonts w:ascii="Arial" w:hAnsi="Arial" w:cs="Arial"/>
                <w:sz w:val="22"/>
                <w:szCs w:val="22"/>
              </w:rPr>
              <w:t>. Y</w:t>
            </w:r>
            <w:r w:rsidR="001C6EE2">
              <w:rPr>
                <w:rFonts w:ascii="Arial" w:hAnsi="Arial" w:cs="Arial"/>
                <w:sz w:val="22"/>
                <w:szCs w:val="22"/>
              </w:rPr>
              <w:t>ounger adolescents</w:t>
            </w:r>
            <w:r w:rsidR="001C6EE2" w:rsidRPr="001C6EE2">
              <w:rPr>
                <w:rFonts w:ascii="Arial" w:hAnsi="Arial" w:cs="Arial"/>
                <w:sz w:val="22"/>
                <w:szCs w:val="22"/>
              </w:rPr>
              <w:t xml:space="preserve"> are familiar with</w:t>
            </w:r>
            <w:r w:rsidR="00390B3C">
              <w:rPr>
                <w:rFonts w:ascii="Arial" w:hAnsi="Arial" w:cs="Arial"/>
                <w:sz w:val="22"/>
                <w:szCs w:val="22"/>
              </w:rPr>
              <w:t>,</w:t>
            </w:r>
            <w:r w:rsidR="001C6EE2" w:rsidRPr="001C6EE2">
              <w:rPr>
                <w:rFonts w:ascii="Arial" w:hAnsi="Arial" w:cs="Arial"/>
                <w:sz w:val="22"/>
                <w:szCs w:val="22"/>
              </w:rPr>
              <w:t xml:space="preserve"> and repeat</w:t>
            </w:r>
            <w:r w:rsidR="00390B3C">
              <w:rPr>
                <w:rFonts w:ascii="Arial" w:hAnsi="Arial" w:cs="Arial"/>
                <w:sz w:val="22"/>
                <w:szCs w:val="22"/>
              </w:rPr>
              <w:t>,</w:t>
            </w:r>
            <w:r w:rsidR="001C6EE2" w:rsidRPr="001C6E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6EE2">
              <w:rPr>
                <w:rFonts w:ascii="Arial" w:hAnsi="Arial" w:cs="Arial"/>
                <w:sz w:val="22"/>
                <w:szCs w:val="22"/>
              </w:rPr>
              <w:t>similar</w:t>
            </w:r>
            <w:r w:rsidR="001C6EE2" w:rsidRPr="001C6EE2">
              <w:rPr>
                <w:rFonts w:ascii="Arial" w:hAnsi="Arial" w:cs="Arial"/>
                <w:sz w:val="22"/>
                <w:szCs w:val="22"/>
              </w:rPr>
              <w:t xml:space="preserve"> gendered norms that</w:t>
            </w:r>
            <w:r w:rsidR="001C6EE2">
              <w:rPr>
                <w:rFonts w:ascii="Arial" w:hAnsi="Arial" w:cs="Arial"/>
                <w:sz w:val="22"/>
                <w:szCs w:val="22"/>
              </w:rPr>
              <w:t xml:space="preserve"> underpin</w:t>
            </w:r>
            <w:r w:rsidR="001C6EE2" w:rsidRPr="001C6EE2">
              <w:rPr>
                <w:rFonts w:ascii="Arial" w:hAnsi="Arial" w:cs="Arial"/>
                <w:sz w:val="22"/>
                <w:szCs w:val="22"/>
              </w:rPr>
              <w:t xml:space="preserve"> violence</w:t>
            </w:r>
            <w:r w:rsidR="00390B3C">
              <w:rPr>
                <w:rFonts w:ascii="Arial" w:hAnsi="Arial" w:cs="Arial"/>
                <w:sz w:val="22"/>
                <w:szCs w:val="22"/>
              </w:rPr>
              <w:t xml:space="preserve"> and poor sexual and reproductive health outcomes</w:t>
            </w:r>
            <w:r w:rsidR="001C6EE2" w:rsidRPr="001C6EE2">
              <w:rPr>
                <w:rFonts w:ascii="Arial" w:hAnsi="Arial" w:cs="Arial"/>
                <w:sz w:val="22"/>
                <w:szCs w:val="22"/>
              </w:rPr>
              <w:t xml:space="preserve"> in older </w:t>
            </w:r>
            <w:r w:rsidR="001C6EE2">
              <w:rPr>
                <w:rFonts w:ascii="Arial" w:hAnsi="Arial" w:cs="Arial"/>
                <w:sz w:val="22"/>
                <w:szCs w:val="22"/>
              </w:rPr>
              <w:t>adolescents’</w:t>
            </w:r>
            <w:r>
              <w:rPr>
                <w:rFonts w:ascii="Arial" w:hAnsi="Arial" w:cs="Arial"/>
                <w:sz w:val="22"/>
                <w:szCs w:val="22"/>
              </w:rPr>
              <w:t xml:space="preserve"> relationships (e.g. female passivity, male aggression and control).</w:t>
            </w:r>
            <w:r w:rsidR="00390B3C">
              <w:rPr>
                <w:rFonts w:ascii="Arial" w:hAnsi="Arial" w:cs="Arial"/>
                <w:sz w:val="22"/>
                <w:szCs w:val="22"/>
              </w:rPr>
              <w:t xml:space="preserve"> Thus, w</w:t>
            </w:r>
            <w:r w:rsidR="00390B3C" w:rsidRPr="00390B3C">
              <w:rPr>
                <w:rFonts w:ascii="Arial" w:hAnsi="Arial" w:cs="Arial"/>
                <w:sz w:val="22"/>
                <w:szCs w:val="22"/>
              </w:rPr>
              <w:t xml:space="preserve">hen </w:t>
            </w:r>
            <w:r w:rsidR="00390B3C">
              <w:rPr>
                <w:rFonts w:ascii="Arial" w:hAnsi="Arial" w:cs="Arial"/>
                <w:sz w:val="22"/>
                <w:szCs w:val="22"/>
              </w:rPr>
              <w:t xml:space="preserve">they begin </w:t>
            </w:r>
            <w:r w:rsidR="00390B3C" w:rsidRPr="00390B3C">
              <w:rPr>
                <w:rFonts w:ascii="Arial" w:hAnsi="Arial" w:cs="Arial"/>
                <w:sz w:val="22"/>
                <w:szCs w:val="22"/>
              </w:rPr>
              <w:t xml:space="preserve">entering relationships </w:t>
            </w:r>
            <w:r w:rsidR="00390B3C">
              <w:rPr>
                <w:rFonts w:ascii="Arial" w:hAnsi="Arial" w:cs="Arial"/>
                <w:sz w:val="22"/>
                <w:szCs w:val="22"/>
              </w:rPr>
              <w:t>younger adolescents</w:t>
            </w:r>
            <w:r w:rsidR="00390B3C" w:rsidRPr="00390B3C">
              <w:rPr>
                <w:rFonts w:ascii="Arial" w:hAnsi="Arial" w:cs="Arial"/>
                <w:sz w:val="22"/>
                <w:szCs w:val="22"/>
              </w:rPr>
              <w:t xml:space="preserve"> are already socialised into relationship norms are premised on unequal gender norms. </w:t>
            </w:r>
          </w:p>
          <w:p w14:paraId="089DEF63" w14:textId="58825FEE" w:rsidR="004B7D91" w:rsidRDefault="004728C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8C0">
              <w:rPr>
                <w:rFonts w:ascii="Cambria" w:eastAsiaTheme="minorEastAsia" w:hAnsi="Cambria" w:cstheme="minorBidi"/>
                <w:sz w:val="22"/>
                <w:szCs w:val="22"/>
              </w:rPr>
              <w:t xml:space="preserve"> </w:t>
            </w:r>
          </w:p>
          <w:p w14:paraId="3FF8A111" w14:textId="77777777" w:rsidR="00332729" w:rsidRDefault="004B7D91" w:rsidP="00047B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047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3A36B7" w14:textId="27F20998" w:rsidR="00047B31" w:rsidRPr="00EE66E1" w:rsidRDefault="001C6EE2" w:rsidP="001C6E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Younger adolescents</w:t>
            </w:r>
            <w:r w:rsidRPr="00047B31">
              <w:rPr>
                <w:rFonts w:ascii="Arial" w:hAnsi="Arial" w:cs="Arial"/>
                <w:sz w:val="22"/>
                <w:szCs w:val="22"/>
              </w:rPr>
              <w:t xml:space="preserve"> are at high risk</w:t>
            </w:r>
            <w:r>
              <w:rPr>
                <w:rFonts w:ascii="Arial" w:hAnsi="Arial" w:cs="Arial"/>
                <w:sz w:val="22"/>
                <w:szCs w:val="22"/>
              </w:rPr>
              <w:t xml:space="preserve"> of IPV, yet remain </w:t>
            </w:r>
            <w:r w:rsidRPr="00047B31">
              <w:rPr>
                <w:rFonts w:ascii="Arial" w:hAnsi="Arial" w:cs="Arial"/>
                <w:sz w:val="22"/>
                <w:szCs w:val="22"/>
              </w:rPr>
              <w:t>notoriously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B31">
              <w:rPr>
                <w:rFonts w:ascii="Arial" w:hAnsi="Arial" w:cs="Arial"/>
                <w:sz w:val="22"/>
                <w:szCs w:val="22"/>
              </w:rPr>
              <w:t>underserved</w:t>
            </w:r>
            <w:r>
              <w:rPr>
                <w:rFonts w:ascii="Arial" w:hAnsi="Arial" w:cs="Arial"/>
                <w:sz w:val="22"/>
                <w:szCs w:val="22"/>
              </w:rPr>
              <w:t>. Our findings challenge</w:t>
            </w:r>
            <w:r w:rsidRPr="001C6EE2">
              <w:rPr>
                <w:rFonts w:ascii="Arial" w:hAnsi="Arial" w:cs="Arial"/>
                <w:sz w:val="22"/>
                <w:szCs w:val="22"/>
              </w:rPr>
              <w:t xml:space="preserve"> views of young</w:t>
            </w:r>
            <w:r>
              <w:rPr>
                <w:rFonts w:ascii="Arial" w:hAnsi="Arial" w:cs="Arial"/>
                <w:sz w:val="22"/>
                <w:szCs w:val="22"/>
              </w:rPr>
              <w:t xml:space="preserve">er adolescents as naïve </w:t>
            </w:r>
            <w:r w:rsidRPr="001C6EE2"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6EE2">
              <w:rPr>
                <w:rFonts w:ascii="Arial" w:hAnsi="Arial" w:cs="Arial"/>
                <w:sz w:val="22"/>
                <w:szCs w:val="22"/>
              </w:rPr>
              <w:t xml:space="preserve">indicate the need for </w:t>
            </w:r>
            <w:r>
              <w:rPr>
                <w:rFonts w:ascii="Arial" w:hAnsi="Arial" w:cs="Arial"/>
                <w:sz w:val="22"/>
                <w:szCs w:val="22"/>
              </w:rPr>
              <w:t xml:space="preserve">early intervention with </w:t>
            </w:r>
            <w:r w:rsidRPr="001C6EE2">
              <w:rPr>
                <w:rFonts w:ascii="Arial" w:hAnsi="Arial" w:cs="Arial"/>
                <w:sz w:val="22"/>
                <w:szCs w:val="22"/>
              </w:rPr>
              <w:t>a focus on violence</w:t>
            </w:r>
            <w:r>
              <w:rPr>
                <w:rFonts w:ascii="Arial" w:hAnsi="Arial" w:cs="Arial"/>
                <w:sz w:val="22"/>
                <w:szCs w:val="22"/>
              </w:rPr>
              <w:t>, coercive sex,</w:t>
            </w:r>
            <w:r w:rsidRPr="001C6EE2">
              <w:rPr>
                <w:rFonts w:ascii="Arial" w:hAnsi="Arial" w:cs="Arial"/>
                <w:sz w:val="22"/>
                <w:szCs w:val="22"/>
              </w:rPr>
              <w:t xml:space="preserve"> and dating as important issues in their relationships.</w:t>
            </w:r>
            <w:r w:rsidR="00EE66E1" w:rsidRPr="00EE66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D83DBAC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</w:t>
            </w:r>
            <w:r w:rsidR="00E50B0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5A4DE263" w14:textId="324F2F64" w:rsidR="00DA7A71" w:rsidRPr="00DA7A71" w:rsidRDefault="00E50B06" w:rsidP="00046B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Younger adolescents; Intimate Partner Violence; sexual and reproductive healt</w:t>
            </w:r>
            <w:r w:rsidR="00046BEA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ton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46BEA"/>
    <w:rsid w:val="00047B31"/>
    <w:rsid w:val="00077988"/>
    <w:rsid w:val="0008349E"/>
    <w:rsid w:val="000C05CE"/>
    <w:rsid w:val="00131D1E"/>
    <w:rsid w:val="001C3A37"/>
    <w:rsid w:val="001C6EE2"/>
    <w:rsid w:val="001F1550"/>
    <w:rsid w:val="00211765"/>
    <w:rsid w:val="00230B21"/>
    <w:rsid w:val="00234502"/>
    <w:rsid w:val="00234EAA"/>
    <w:rsid w:val="00242808"/>
    <w:rsid w:val="00294265"/>
    <w:rsid w:val="002B7FC8"/>
    <w:rsid w:val="002E2C41"/>
    <w:rsid w:val="002F34DB"/>
    <w:rsid w:val="00317FFE"/>
    <w:rsid w:val="00332729"/>
    <w:rsid w:val="00363AF7"/>
    <w:rsid w:val="0037180A"/>
    <w:rsid w:val="00374706"/>
    <w:rsid w:val="00390B3C"/>
    <w:rsid w:val="003A6236"/>
    <w:rsid w:val="003B15A7"/>
    <w:rsid w:val="003F596D"/>
    <w:rsid w:val="004728C0"/>
    <w:rsid w:val="00490208"/>
    <w:rsid w:val="004B5B95"/>
    <w:rsid w:val="004B7D91"/>
    <w:rsid w:val="004C45A1"/>
    <w:rsid w:val="004C513E"/>
    <w:rsid w:val="004E345D"/>
    <w:rsid w:val="00502A82"/>
    <w:rsid w:val="00564331"/>
    <w:rsid w:val="00590824"/>
    <w:rsid w:val="005B2E84"/>
    <w:rsid w:val="005F7DC7"/>
    <w:rsid w:val="006202A9"/>
    <w:rsid w:val="006605DB"/>
    <w:rsid w:val="00663BFF"/>
    <w:rsid w:val="006871DB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A22F6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35167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167D6"/>
    <w:rsid w:val="00D71EFE"/>
    <w:rsid w:val="00DA45EE"/>
    <w:rsid w:val="00DA7A71"/>
    <w:rsid w:val="00DC28F4"/>
    <w:rsid w:val="00DC2C64"/>
    <w:rsid w:val="00DE6D44"/>
    <w:rsid w:val="00E0479B"/>
    <w:rsid w:val="00E36AD7"/>
    <w:rsid w:val="00E379B4"/>
    <w:rsid w:val="00E4366A"/>
    <w:rsid w:val="00E458B1"/>
    <w:rsid w:val="00E50B06"/>
    <w:rsid w:val="00EE66E1"/>
    <w:rsid w:val="00F16B61"/>
    <w:rsid w:val="00F407AD"/>
    <w:rsid w:val="00F86A0C"/>
    <w:rsid w:val="00FB626D"/>
    <w:rsid w:val="00F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Default">
    <w:name w:val="Default"/>
    <w:rsid w:val="00046BEA"/>
    <w:pPr>
      <w:autoSpaceDE w:val="0"/>
      <w:autoSpaceDN w:val="0"/>
      <w:adjustRightInd w:val="0"/>
    </w:pPr>
    <w:rPr>
      <w:rFonts w:ascii="BentonSans Book" w:hAnsi="BentonSans Book" w:cs="BentonSans Book"/>
      <w:color w:val="000000"/>
      <w:sz w:val="24"/>
      <w:szCs w:val="24"/>
      <w:lang w:val="en-GB"/>
    </w:rPr>
  </w:style>
  <w:style w:type="character" w:customStyle="1" w:styleId="A22">
    <w:name w:val="A22"/>
    <w:uiPriority w:val="99"/>
    <w:rsid w:val="00046BEA"/>
    <w:rPr>
      <w:rFonts w:cs="BentonSans Book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dcmitype/"/>
    <ds:schemaRef ds:uri="6911e96c-4cc4-42d5-8e43-f93924cf6a05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032C-7C28-4474-BEC0-33EC29A9D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2018-09-02T03:01:00Z</dcterms:created>
  <dcterms:modified xsi:type="dcterms:W3CDTF">2018-09-02T03:01:00Z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