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297D40" w14:paraId="5C38377B" w14:textId="77777777" w:rsidTr="000A28E2">
        <w:trPr>
          <w:jc w:val="center"/>
        </w:trPr>
        <w:tc>
          <w:tcPr>
            <w:tcW w:w="8640" w:type="dxa"/>
            <w:shd w:val="clear" w:color="auto" w:fill="auto"/>
          </w:tcPr>
          <w:p w14:paraId="3034E003" w14:textId="5CF7432C" w:rsidR="001564A4" w:rsidRDefault="0023143D" w:rsidP="00C95540">
            <w:pPr>
              <w:rPr>
                <w:rFonts w:ascii="Arial" w:hAnsi="Arial" w:cs="Arial"/>
                <w:sz w:val="22"/>
                <w:szCs w:val="20"/>
              </w:rPr>
            </w:pPr>
            <w:r>
              <w:rPr>
                <w:rFonts w:ascii="Arial" w:hAnsi="Arial" w:cs="Arial"/>
                <w:sz w:val="22"/>
                <w:szCs w:val="20"/>
              </w:rPr>
              <w:t>Using Trikafta in adult liver transplant recipients and CFLD</w:t>
            </w:r>
          </w:p>
          <w:p w14:paraId="5C44F357" w14:textId="46867B4C" w:rsidR="00297D40" w:rsidRPr="00297D40" w:rsidRDefault="00297D40" w:rsidP="00C95540">
            <w:pPr>
              <w:rPr>
                <w:rFonts w:ascii="Arial" w:hAnsi="Arial" w:cs="Arial"/>
                <w:sz w:val="22"/>
                <w:szCs w:val="20"/>
              </w:rPr>
            </w:pPr>
          </w:p>
        </w:tc>
      </w:tr>
      <w:tr w:rsidR="001564A4" w:rsidRPr="00297D40" w14:paraId="0E2E035C" w14:textId="77777777" w:rsidTr="000A28E2">
        <w:trPr>
          <w:jc w:val="center"/>
        </w:trPr>
        <w:tc>
          <w:tcPr>
            <w:tcW w:w="8640" w:type="dxa"/>
            <w:shd w:val="clear" w:color="auto" w:fill="auto"/>
          </w:tcPr>
          <w:p w14:paraId="73B55295" w14:textId="0560A369" w:rsidR="001564A4" w:rsidRPr="00297D40" w:rsidRDefault="004A5072" w:rsidP="0057228B">
            <w:pPr>
              <w:spacing w:before="120" w:after="120"/>
              <w:rPr>
                <w:rFonts w:ascii="Arial" w:hAnsi="Arial" w:cs="Arial"/>
                <w:sz w:val="22"/>
                <w:szCs w:val="20"/>
                <w:u w:val="single"/>
                <w:lang w:eastAsia="zh-CN"/>
              </w:rPr>
            </w:pPr>
            <w:r w:rsidRPr="00297D40">
              <w:rPr>
                <w:rFonts w:ascii="Arial" w:hAnsi="Arial" w:cs="Arial"/>
                <w:sz w:val="22"/>
                <w:szCs w:val="20"/>
                <w:lang w:val="en-US" w:eastAsia="en-GB"/>
              </w:rPr>
              <w:t>Ruth Semprini</w:t>
            </w:r>
            <w:r w:rsidR="001564A4" w:rsidRPr="00297D40">
              <w:rPr>
                <w:rFonts w:ascii="Arial" w:hAnsi="Arial" w:cs="Arial"/>
                <w:sz w:val="22"/>
                <w:szCs w:val="20"/>
                <w:vertAlign w:val="superscript"/>
                <w:lang w:val="en-US" w:eastAsia="en-GB"/>
              </w:rPr>
              <w:t>1</w:t>
            </w:r>
            <w:bookmarkStart w:id="0" w:name="Text8"/>
            <w:r w:rsidR="0057228B">
              <w:rPr>
                <w:rFonts w:ascii="Arial" w:hAnsi="Arial" w:cs="Arial"/>
                <w:sz w:val="22"/>
                <w:szCs w:val="20"/>
                <w:vertAlign w:val="superscript"/>
                <w:lang w:val="en-US" w:eastAsia="en-GB"/>
              </w:rPr>
              <w:t>,2</w:t>
            </w:r>
            <w:r w:rsidR="001564A4" w:rsidRPr="00297D40">
              <w:rPr>
                <w:rFonts w:ascii="Arial" w:hAnsi="Arial" w:cs="Arial"/>
                <w:sz w:val="22"/>
                <w:szCs w:val="20"/>
                <w:lang w:val="en-US" w:eastAsia="en-GB"/>
              </w:rPr>
              <w:t>,</w:t>
            </w:r>
            <w:bookmarkEnd w:id="0"/>
            <w:r w:rsidRPr="00297D40">
              <w:rPr>
                <w:rFonts w:ascii="Arial" w:hAnsi="Arial" w:cs="Arial"/>
                <w:sz w:val="22"/>
                <w:szCs w:val="20"/>
                <w:lang w:val="en-US" w:eastAsia="en-GB"/>
              </w:rPr>
              <w:t xml:space="preserve"> Amanda Chen</w:t>
            </w:r>
            <w:r w:rsidR="0057228B">
              <w:rPr>
                <w:rFonts w:ascii="Arial" w:hAnsi="Arial" w:cs="Arial"/>
                <w:sz w:val="22"/>
                <w:szCs w:val="20"/>
                <w:vertAlign w:val="superscript"/>
                <w:lang w:val="en-US" w:eastAsia="en-GB"/>
              </w:rPr>
              <w:t>1</w:t>
            </w:r>
            <w:r w:rsidR="001564A4" w:rsidRPr="00297D40">
              <w:rPr>
                <w:rFonts w:ascii="Arial" w:hAnsi="Arial" w:cs="Arial"/>
                <w:sz w:val="22"/>
                <w:szCs w:val="20"/>
                <w:lang w:val="en-US" w:eastAsia="en-GB"/>
              </w:rPr>
              <w:t>,</w:t>
            </w:r>
            <w:r w:rsidRPr="00297D40">
              <w:rPr>
                <w:rFonts w:ascii="Arial" w:hAnsi="Arial" w:cs="Arial"/>
                <w:sz w:val="22"/>
                <w:szCs w:val="20"/>
                <w:lang w:val="en-US" w:eastAsia="en-GB"/>
              </w:rPr>
              <w:t xml:space="preserve"> Brendan Ah Chan</w:t>
            </w:r>
            <w:r w:rsidR="0057228B">
              <w:rPr>
                <w:rFonts w:ascii="Arial" w:hAnsi="Arial" w:cs="Arial"/>
                <w:sz w:val="22"/>
                <w:szCs w:val="20"/>
                <w:vertAlign w:val="superscript"/>
                <w:lang w:val="en-US" w:eastAsia="en-GB"/>
              </w:rPr>
              <w:t>1</w:t>
            </w:r>
            <w:r w:rsidR="001564A4" w:rsidRPr="00297D40">
              <w:rPr>
                <w:rFonts w:ascii="Arial" w:hAnsi="Arial" w:cs="Arial"/>
                <w:sz w:val="22"/>
                <w:szCs w:val="20"/>
                <w:lang w:val="en-US" w:eastAsia="en-GB"/>
              </w:rPr>
              <w:t>,</w:t>
            </w:r>
            <w:r w:rsidRPr="00297D40">
              <w:rPr>
                <w:rFonts w:ascii="Arial" w:hAnsi="Arial" w:cs="Arial"/>
                <w:sz w:val="22"/>
                <w:szCs w:val="20"/>
                <w:lang w:val="en-US" w:eastAsia="en-GB"/>
              </w:rPr>
              <w:t xml:space="preserve"> Andrew Davies</w:t>
            </w:r>
            <w:r w:rsidR="0057228B" w:rsidRPr="0057228B">
              <w:rPr>
                <w:rFonts w:ascii="Arial" w:hAnsi="Arial" w:cs="Arial"/>
                <w:sz w:val="22"/>
                <w:szCs w:val="20"/>
                <w:vertAlign w:val="superscript"/>
                <w:lang w:val="en-US" w:eastAsia="en-GB"/>
              </w:rPr>
              <w:t>1</w:t>
            </w:r>
            <w:r w:rsidR="001564A4" w:rsidRPr="00297D40">
              <w:rPr>
                <w:rFonts w:ascii="Arial" w:hAnsi="Arial" w:cs="Arial"/>
                <w:sz w:val="22"/>
                <w:szCs w:val="20"/>
                <w:lang w:val="en-US" w:eastAsia="en-GB"/>
              </w:rPr>
              <w:t>,</w:t>
            </w:r>
            <w:r w:rsidRPr="00297D40">
              <w:rPr>
                <w:rFonts w:ascii="Arial" w:hAnsi="Arial" w:cs="Arial"/>
                <w:sz w:val="22"/>
                <w:szCs w:val="20"/>
                <w:lang w:val="en-US" w:eastAsia="en-GB"/>
              </w:rPr>
              <w:t xml:space="preserve"> </w:t>
            </w:r>
            <w:r w:rsidR="0057228B">
              <w:rPr>
                <w:rFonts w:ascii="Arial" w:hAnsi="Arial" w:cs="Arial"/>
                <w:sz w:val="22"/>
                <w:szCs w:val="20"/>
                <w:lang w:val="en-US" w:eastAsia="en-GB"/>
              </w:rPr>
              <w:t>Megan Powell</w:t>
            </w:r>
            <w:r w:rsidR="0057228B" w:rsidRPr="0057228B">
              <w:rPr>
                <w:rFonts w:ascii="Arial" w:hAnsi="Arial" w:cs="Arial"/>
                <w:sz w:val="22"/>
                <w:szCs w:val="20"/>
                <w:vertAlign w:val="superscript"/>
                <w:lang w:val="en-US" w:eastAsia="en-GB"/>
              </w:rPr>
              <w:t>1</w:t>
            </w:r>
            <w:r w:rsidR="0057228B">
              <w:rPr>
                <w:rFonts w:ascii="Arial" w:hAnsi="Arial" w:cs="Arial"/>
                <w:sz w:val="22"/>
                <w:szCs w:val="20"/>
                <w:lang w:val="en-US" w:eastAsia="en-GB"/>
              </w:rPr>
              <w:t xml:space="preserve">, </w:t>
            </w:r>
            <w:r w:rsidRPr="00297D40">
              <w:rPr>
                <w:rFonts w:ascii="Arial" w:hAnsi="Arial" w:cs="Arial"/>
                <w:sz w:val="22"/>
                <w:szCs w:val="20"/>
                <w:lang w:val="en-US" w:eastAsia="en-GB"/>
              </w:rPr>
              <w:t>Rob Hackett</w:t>
            </w:r>
            <w:r w:rsidR="0057228B">
              <w:rPr>
                <w:rFonts w:ascii="Arial" w:hAnsi="Arial" w:cs="Arial"/>
                <w:sz w:val="22"/>
                <w:szCs w:val="20"/>
                <w:vertAlign w:val="superscript"/>
                <w:lang w:val="en-US" w:eastAsia="en-GB"/>
              </w:rPr>
              <w:t>1</w:t>
            </w:r>
          </w:p>
        </w:tc>
      </w:tr>
      <w:tr w:rsidR="001564A4" w:rsidRPr="00297D40" w14:paraId="385A19D9" w14:textId="77777777" w:rsidTr="000A28E2">
        <w:trPr>
          <w:trHeight w:val="136"/>
          <w:jc w:val="center"/>
        </w:trPr>
        <w:tc>
          <w:tcPr>
            <w:tcW w:w="8640" w:type="dxa"/>
            <w:shd w:val="clear" w:color="auto" w:fill="auto"/>
          </w:tcPr>
          <w:p w14:paraId="1643A330" w14:textId="77F4ED2F" w:rsidR="001564A4" w:rsidRPr="00297D40" w:rsidRDefault="001564A4" w:rsidP="00C95540">
            <w:pPr>
              <w:spacing w:before="120" w:after="120"/>
              <w:rPr>
                <w:rFonts w:ascii="Arial" w:hAnsi="Arial" w:cs="Arial"/>
                <w:i/>
                <w:sz w:val="22"/>
                <w:szCs w:val="20"/>
                <w:lang w:val="en-US" w:eastAsia="en-GB"/>
              </w:rPr>
            </w:pPr>
            <w:r w:rsidRPr="00297D40">
              <w:rPr>
                <w:rFonts w:ascii="Arial" w:hAnsi="Arial" w:cs="Arial"/>
                <w:i/>
                <w:sz w:val="22"/>
                <w:szCs w:val="20"/>
                <w:vertAlign w:val="superscript"/>
                <w:lang w:val="en-US" w:eastAsia="en-GB"/>
              </w:rPr>
              <w:t>1</w:t>
            </w:r>
            <w:r w:rsidR="0057228B">
              <w:rPr>
                <w:rFonts w:ascii="Arial" w:hAnsi="Arial" w:cs="Arial"/>
                <w:i/>
                <w:sz w:val="22"/>
                <w:szCs w:val="20"/>
                <w:lang w:val="en-US" w:eastAsia="en-GB"/>
              </w:rPr>
              <w:t>Capital, Coast and Hutt Valley, Te Whatu Ora Health New Zealand</w:t>
            </w:r>
          </w:p>
          <w:p w14:paraId="45ED36BF" w14:textId="3FBBAFF4" w:rsidR="001564A4" w:rsidRPr="00297D40" w:rsidRDefault="001564A4" w:rsidP="0057228B">
            <w:pPr>
              <w:spacing w:before="120" w:after="120"/>
              <w:rPr>
                <w:rFonts w:ascii="Arial" w:hAnsi="Arial" w:cs="Arial"/>
                <w:i/>
                <w:sz w:val="22"/>
                <w:szCs w:val="20"/>
                <w:lang w:val="en-US" w:eastAsia="en-GB"/>
              </w:rPr>
            </w:pPr>
            <w:r w:rsidRPr="00297D40">
              <w:rPr>
                <w:rFonts w:ascii="Arial" w:hAnsi="Arial" w:cs="Arial"/>
                <w:i/>
                <w:sz w:val="22"/>
                <w:szCs w:val="20"/>
                <w:vertAlign w:val="superscript"/>
                <w:lang w:val="en-US" w:eastAsia="en-GB"/>
              </w:rPr>
              <w:t>2</w:t>
            </w:r>
            <w:r w:rsidR="004A5072" w:rsidRPr="00297D40">
              <w:rPr>
                <w:rFonts w:ascii="Arial" w:hAnsi="Arial" w:cs="Arial"/>
                <w:i/>
                <w:sz w:val="22"/>
                <w:szCs w:val="20"/>
                <w:lang w:val="en-US" w:eastAsia="en-GB"/>
              </w:rPr>
              <w:t>Medical Research Institute of New Zealand</w:t>
            </w:r>
          </w:p>
        </w:tc>
      </w:tr>
      <w:tr w:rsidR="001564A4" w:rsidRPr="00297D40" w14:paraId="6DAF615A" w14:textId="77777777" w:rsidTr="00297D40">
        <w:trPr>
          <w:trHeight w:hRule="exact" w:val="9227"/>
          <w:jc w:val="center"/>
        </w:trPr>
        <w:tc>
          <w:tcPr>
            <w:tcW w:w="8640" w:type="dxa"/>
            <w:shd w:val="clear" w:color="auto" w:fill="auto"/>
          </w:tcPr>
          <w:p w14:paraId="739E7937" w14:textId="77777777" w:rsidR="001564A4" w:rsidRPr="00297D40" w:rsidRDefault="001564A4" w:rsidP="00C95540">
            <w:pPr>
              <w:pStyle w:val="Pa12"/>
              <w:spacing w:line="240" w:lineRule="auto"/>
              <w:rPr>
                <w:rStyle w:val="A4"/>
                <w:szCs w:val="20"/>
              </w:rPr>
            </w:pPr>
            <w:r w:rsidRPr="00297D40">
              <w:rPr>
                <w:rStyle w:val="A4"/>
                <w:b/>
                <w:bCs/>
                <w:szCs w:val="20"/>
              </w:rPr>
              <w:t xml:space="preserve">Introduction/Aim: </w:t>
            </w:r>
          </w:p>
          <w:p w14:paraId="3E1C8C76" w14:textId="43828359" w:rsidR="004A5072" w:rsidRPr="00297D40" w:rsidRDefault="00297D40" w:rsidP="00C95540">
            <w:pPr>
              <w:rPr>
                <w:rFonts w:ascii="Arial" w:hAnsi="Arial" w:cs="Arial"/>
                <w:sz w:val="22"/>
                <w:szCs w:val="20"/>
              </w:rPr>
            </w:pPr>
            <w:r w:rsidRPr="00297D40">
              <w:rPr>
                <w:rFonts w:ascii="Arial" w:hAnsi="Arial" w:cs="Arial"/>
                <w:sz w:val="22"/>
                <w:szCs w:val="20"/>
              </w:rPr>
              <w:t xml:space="preserve">The use of elexacaftor/tezacaftor/ivacaftor (ETI) in cystic fibrosis (CF) has resulted in improved quality of life, body mass index (BMI) and lung function tests. </w:t>
            </w:r>
            <w:r w:rsidR="004A5072" w:rsidRPr="00297D40">
              <w:rPr>
                <w:rFonts w:ascii="Arial" w:hAnsi="Arial" w:cs="Arial"/>
                <w:sz w:val="22"/>
                <w:szCs w:val="20"/>
              </w:rPr>
              <w:t xml:space="preserve">It is not recommended in those with liver transplants or CF-related </w:t>
            </w:r>
            <w:r w:rsidR="003C0A42">
              <w:rPr>
                <w:rFonts w:ascii="Arial" w:hAnsi="Arial" w:cs="Arial"/>
                <w:sz w:val="22"/>
                <w:szCs w:val="20"/>
              </w:rPr>
              <w:t>liver disease (CFLD)</w:t>
            </w:r>
            <w:r w:rsidR="004A5072" w:rsidRPr="00297D40">
              <w:rPr>
                <w:rFonts w:ascii="Arial" w:hAnsi="Arial" w:cs="Arial"/>
                <w:sz w:val="22"/>
                <w:szCs w:val="20"/>
              </w:rPr>
              <w:t xml:space="preserve"> due to well documented derangement of liver function tests (LFTs) and potential interactions with immunosuppressive agents. We report our experience with the use of ETI in a single centre in those with liver transplants and </w:t>
            </w:r>
            <w:r w:rsidR="003C0A42">
              <w:rPr>
                <w:rFonts w:ascii="Arial" w:hAnsi="Arial" w:cs="Arial"/>
                <w:sz w:val="22"/>
                <w:szCs w:val="20"/>
              </w:rPr>
              <w:t>CFLD</w:t>
            </w:r>
            <w:r w:rsidR="004A5072" w:rsidRPr="00297D40">
              <w:rPr>
                <w:rFonts w:ascii="Arial" w:hAnsi="Arial" w:cs="Arial"/>
                <w:sz w:val="22"/>
                <w:szCs w:val="20"/>
              </w:rPr>
              <w:t>.</w:t>
            </w:r>
          </w:p>
          <w:p w14:paraId="3D770CF7" w14:textId="77777777" w:rsidR="001564A4" w:rsidRPr="00297D40" w:rsidRDefault="001564A4" w:rsidP="00C95540">
            <w:pPr>
              <w:pStyle w:val="Pa12"/>
              <w:spacing w:line="240" w:lineRule="auto"/>
              <w:rPr>
                <w:rStyle w:val="A4"/>
                <w:bCs/>
                <w:szCs w:val="20"/>
              </w:rPr>
            </w:pPr>
          </w:p>
          <w:p w14:paraId="1B39336E" w14:textId="77777777" w:rsidR="001564A4" w:rsidRPr="00297D40" w:rsidRDefault="001564A4" w:rsidP="00C95540">
            <w:pPr>
              <w:pStyle w:val="Pa12"/>
              <w:spacing w:line="240" w:lineRule="auto"/>
              <w:rPr>
                <w:rStyle w:val="A4"/>
                <w:b/>
                <w:bCs/>
                <w:szCs w:val="20"/>
              </w:rPr>
            </w:pPr>
            <w:r w:rsidRPr="00297D40">
              <w:rPr>
                <w:rStyle w:val="A4"/>
                <w:b/>
                <w:bCs/>
                <w:szCs w:val="20"/>
              </w:rPr>
              <w:t xml:space="preserve">Methods: </w:t>
            </w:r>
          </w:p>
          <w:p w14:paraId="3B461E66" w14:textId="2A329A28" w:rsidR="0048782A" w:rsidRPr="00297D40" w:rsidRDefault="0048782A" w:rsidP="00C95540">
            <w:pPr>
              <w:rPr>
                <w:rFonts w:ascii="Arial" w:hAnsi="Arial" w:cs="Arial"/>
                <w:sz w:val="22"/>
                <w:szCs w:val="20"/>
              </w:rPr>
            </w:pPr>
            <w:r w:rsidRPr="00297D40">
              <w:rPr>
                <w:rFonts w:ascii="Arial" w:hAnsi="Arial" w:cs="Arial"/>
                <w:sz w:val="22"/>
                <w:szCs w:val="20"/>
              </w:rPr>
              <w:t>A retrospective case series including patients started on ETI with liver transplantation or in those with CF</w:t>
            </w:r>
            <w:r w:rsidR="003C0A42">
              <w:rPr>
                <w:rFonts w:ascii="Arial" w:hAnsi="Arial" w:cs="Arial"/>
                <w:sz w:val="22"/>
                <w:szCs w:val="20"/>
              </w:rPr>
              <w:t>LD</w:t>
            </w:r>
            <w:r w:rsidRPr="00297D40">
              <w:rPr>
                <w:rFonts w:ascii="Arial" w:hAnsi="Arial" w:cs="Arial"/>
                <w:sz w:val="22"/>
                <w:szCs w:val="20"/>
              </w:rPr>
              <w:t xml:space="preserve">. </w:t>
            </w:r>
          </w:p>
          <w:p w14:paraId="5029BAE6" w14:textId="77777777" w:rsidR="001564A4" w:rsidRPr="00297D40" w:rsidRDefault="001564A4" w:rsidP="00C95540">
            <w:pPr>
              <w:pStyle w:val="Pa12"/>
              <w:spacing w:line="240" w:lineRule="auto"/>
              <w:rPr>
                <w:rStyle w:val="A4"/>
                <w:bCs/>
                <w:szCs w:val="20"/>
              </w:rPr>
            </w:pPr>
          </w:p>
          <w:p w14:paraId="6BF3F094" w14:textId="77777777" w:rsidR="001564A4" w:rsidRPr="00297D40" w:rsidRDefault="001564A4" w:rsidP="00C95540">
            <w:pPr>
              <w:pStyle w:val="Pa12"/>
              <w:spacing w:line="240" w:lineRule="auto"/>
              <w:rPr>
                <w:rStyle w:val="A4"/>
                <w:b/>
                <w:bCs/>
                <w:szCs w:val="20"/>
              </w:rPr>
            </w:pPr>
            <w:r w:rsidRPr="00297D40">
              <w:rPr>
                <w:rStyle w:val="A4"/>
                <w:b/>
                <w:bCs/>
                <w:szCs w:val="20"/>
              </w:rPr>
              <w:t xml:space="preserve">Results: </w:t>
            </w:r>
          </w:p>
          <w:p w14:paraId="69FF3F22" w14:textId="0CC751F5" w:rsidR="00C95540" w:rsidRPr="00297D40" w:rsidRDefault="00C95540" w:rsidP="00C95540">
            <w:pPr>
              <w:pStyle w:val="Pa12"/>
              <w:spacing w:line="240" w:lineRule="auto"/>
              <w:rPr>
                <w:sz w:val="22"/>
                <w:szCs w:val="20"/>
              </w:rPr>
            </w:pPr>
            <w:r w:rsidRPr="00297D40">
              <w:rPr>
                <w:sz w:val="22"/>
                <w:szCs w:val="20"/>
              </w:rPr>
              <w:t>Four patients were identified. Two patients had liver transplants (both male). Two patients had CF</w:t>
            </w:r>
            <w:r w:rsidR="00DF3134">
              <w:rPr>
                <w:sz w:val="22"/>
                <w:szCs w:val="20"/>
              </w:rPr>
              <w:t>LD</w:t>
            </w:r>
            <w:r w:rsidRPr="00297D40">
              <w:rPr>
                <w:sz w:val="22"/>
                <w:szCs w:val="20"/>
              </w:rPr>
              <w:t xml:space="preserve"> with cirrhosis and portal hypertension (both female), classed at Child Pugh B8 and A5. Median age across all four patients was 25years (range 20 to 48years), median FEV1 prior to starting ETI was 2.81L (range 1.37</w:t>
            </w:r>
            <w:r w:rsidR="00DF3134">
              <w:rPr>
                <w:sz w:val="22"/>
                <w:szCs w:val="20"/>
              </w:rPr>
              <w:t>L</w:t>
            </w:r>
            <w:r w:rsidRPr="00297D40">
              <w:rPr>
                <w:sz w:val="22"/>
                <w:szCs w:val="20"/>
              </w:rPr>
              <w:t xml:space="preserve"> to 3.01L). The time from transplant for the two recipients was 12years and 3years. Three patients were commenced on full dose ETI therapy. One patient, with severe cirrhosis and portal hypertension (Child Pugh B8), was started on twice weekly dosing ETI and increased to alternate day dosing with stable LFTs as their ongoing dose. ETI was discontinued in one patient 3yr post-liver transplant w</w:t>
            </w:r>
            <w:r w:rsidR="00517D9A" w:rsidRPr="00297D40">
              <w:rPr>
                <w:sz w:val="22"/>
                <w:szCs w:val="20"/>
              </w:rPr>
              <w:t xml:space="preserve">ho had deranged LFTs five months after starting ETI. Liver biopsy confirmed drug induced liver injury and re-challenge was not successful. </w:t>
            </w:r>
            <w:r w:rsidRPr="00297D40">
              <w:rPr>
                <w:sz w:val="22"/>
                <w:szCs w:val="20"/>
              </w:rPr>
              <w:t>Monitoring of LFTs for all patients was initially performed weekly for one month, then fortnightly for a month then monthly from then on. Tacrolimus dose was reduced in both transplant recipients in anticipation of ETI commencement</w:t>
            </w:r>
            <w:r w:rsidR="00517D9A" w:rsidRPr="00297D40">
              <w:rPr>
                <w:sz w:val="22"/>
                <w:szCs w:val="20"/>
              </w:rPr>
              <w:t xml:space="preserve">. All patients demonstrated improvement in </w:t>
            </w:r>
            <w:r w:rsidR="00DF3134">
              <w:rPr>
                <w:sz w:val="22"/>
                <w:szCs w:val="20"/>
              </w:rPr>
              <w:t xml:space="preserve">quality of life, </w:t>
            </w:r>
            <w:r w:rsidR="00297D40" w:rsidRPr="00297D40">
              <w:rPr>
                <w:sz w:val="22"/>
                <w:szCs w:val="20"/>
              </w:rPr>
              <w:t>BMI</w:t>
            </w:r>
            <w:r w:rsidR="00517D9A" w:rsidRPr="00297D40">
              <w:rPr>
                <w:sz w:val="22"/>
                <w:szCs w:val="20"/>
              </w:rPr>
              <w:t xml:space="preserve"> and lung function after starting ETI. </w:t>
            </w:r>
          </w:p>
          <w:p w14:paraId="4A4A7E1D" w14:textId="77777777" w:rsidR="00C95540" w:rsidRPr="00297D40" w:rsidRDefault="00C95540" w:rsidP="00C95540">
            <w:pPr>
              <w:pStyle w:val="Pa12"/>
              <w:spacing w:line="240" w:lineRule="auto"/>
              <w:rPr>
                <w:sz w:val="22"/>
                <w:szCs w:val="20"/>
              </w:rPr>
            </w:pPr>
          </w:p>
          <w:p w14:paraId="652F7BE1" w14:textId="77777777" w:rsidR="001564A4" w:rsidRPr="00297D40" w:rsidRDefault="001564A4" w:rsidP="00C95540">
            <w:pPr>
              <w:pStyle w:val="Pa12"/>
              <w:spacing w:line="240" w:lineRule="auto"/>
              <w:rPr>
                <w:rStyle w:val="A4"/>
                <w:b/>
                <w:bCs/>
                <w:szCs w:val="20"/>
              </w:rPr>
            </w:pPr>
            <w:r w:rsidRPr="00297D40">
              <w:rPr>
                <w:rStyle w:val="A4"/>
                <w:b/>
                <w:bCs/>
                <w:szCs w:val="20"/>
              </w:rPr>
              <w:t xml:space="preserve">Conclusion: </w:t>
            </w:r>
          </w:p>
          <w:p w14:paraId="456131DA" w14:textId="77777777" w:rsidR="00C95540" w:rsidRPr="00297D40" w:rsidRDefault="00C95540" w:rsidP="00C95540">
            <w:pPr>
              <w:rPr>
                <w:rFonts w:ascii="Arial" w:hAnsi="Arial" w:cs="Arial"/>
                <w:sz w:val="22"/>
                <w:szCs w:val="20"/>
              </w:rPr>
            </w:pPr>
            <w:r w:rsidRPr="00297D40">
              <w:rPr>
                <w:rFonts w:ascii="Arial" w:hAnsi="Arial" w:cs="Arial"/>
                <w:sz w:val="22"/>
                <w:szCs w:val="20"/>
              </w:rPr>
              <w:t xml:space="preserve">Initiation of ETI in patients with CF with liver transplants or with CF related cirrhosis is safe with close monitoring. </w:t>
            </w:r>
          </w:p>
          <w:p w14:paraId="196E7BAC" w14:textId="1D1A207D" w:rsidR="001564A4" w:rsidRPr="00297D40" w:rsidRDefault="001564A4" w:rsidP="00C95540">
            <w:pPr>
              <w:pStyle w:val="Pa12"/>
              <w:spacing w:line="240" w:lineRule="auto"/>
              <w:rPr>
                <w:rStyle w:val="A4"/>
                <w:bCs/>
                <w:szCs w:val="20"/>
              </w:rPr>
            </w:pPr>
          </w:p>
          <w:p w14:paraId="5F58D34F" w14:textId="0E5D207F" w:rsidR="00C95540" w:rsidRPr="00297D40" w:rsidRDefault="001564A4" w:rsidP="00C95540">
            <w:pPr>
              <w:pStyle w:val="Pa12"/>
              <w:spacing w:line="240" w:lineRule="auto"/>
              <w:rPr>
                <w:sz w:val="22"/>
                <w:szCs w:val="20"/>
              </w:rPr>
            </w:pPr>
            <w:r w:rsidRPr="00297D40">
              <w:rPr>
                <w:rStyle w:val="A4"/>
                <w:b/>
                <w:bCs/>
                <w:szCs w:val="20"/>
              </w:rPr>
              <w:t xml:space="preserve">Grant Support: </w:t>
            </w:r>
            <w:r w:rsidR="00C95540" w:rsidRPr="00297D40">
              <w:rPr>
                <w:sz w:val="22"/>
                <w:szCs w:val="20"/>
              </w:rPr>
              <w:t>None to declare</w:t>
            </w:r>
          </w:p>
        </w:tc>
      </w:tr>
    </w:tbl>
    <w:p w14:paraId="7C36A9DC" w14:textId="32A70617" w:rsidR="00E0700F" w:rsidRPr="00297D40" w:rsidRDefault="00E0700F" w:rsidP="00C95540">
      <w:pPr>
        <w:rPr>
          <w:rFonts w:ascii="Arial" w:hAnsi="Arial" w:cs="Arial"/>
          <w:sz w:val="18"/>
          <w:szCs w:val="22"/>
        </w:rPr>
      </w:pPr>
    </w:p>
    <w:sectPr w:rsidR="00E0700F" w:rsidRPr="00297D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A4"/>
    <w:rsid w:val="001564A4"/>
    <w:rsid w:val="001F351F"/>
    <w:rsid w:val="0023143D"/>
    <w:rsid w:val="00297D40"/>
    <w:rsid w:val="003C0A42"/>
    <w:rsid w:val="0048782A"/>
    <w:rsid w:val="004A5072"/>
    <w:rsid w:val="0051574E"/>
    <w:rsid w:val="00517D9A"/>
    <w:rsid w:val="0057228B"/>
    <w:rsid w:val="008803FA"/>
    <w:rsid w:val="00B12E32"/>
    <w:rsid w:val="00C95540"/>
    <w:rsid w:val="00DF3134"/>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0/xmlns/"/>
    <ds:schemaRef ds:uri="http://www.w3.org/2001/XMLSchema"/>
    <ds:schemaRef ds:uri="6911e96c-4cc4-42d5-8e43-f93924cf6a05"/>
    <ds:schemaRef ds:uri="9c8a2b7b-0bee-4c48-b0a6-23db8982d3bc"/>
    <ds:schemaRef ds:uri="cab52c9b-ab33-4221-8af9-54f8f2b86a80"/>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www.w3.org/2000/xmlns/"/>
    <ds:schemaRef ds:uri="cab52c9b-ab33-4221-8af9-54f8f2b86a80"/>
    <ds:schemaRef ds:uri="http://www.w3.org/2001/XMLSchema-instance"/>
    <ds:schemaRef ds:uri="6911e96c-4cc4-42d5-8e43-f93924cf6a05"/>
    <ds:schemaRef ds:uri="http://schemas.microsoft.com/office/infopath/2007/PartnerControls"/>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Ruth Semprini</cp:lastModifiedBy>
  <cp:revision>2</cp:revision>
  <dcterms:created xsi:type="dcterms:W3CDTF">2023-10-18T09:21:00Z</dcterms:created>
  <dcterms:modified xsi:type="dcterms:W3CDTF">2023-10-18T09:21:00Z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