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15534" w14:textId="13248C68" w:rsidR="007B29A4" w:rsidRPr="0026447C" w:rsidRDefault="007B29A4" w:rsidP="00F501EC">
      <w:pPr>
        <w:spacing w:before="100" w:beforeAutospacing="1" w:after="100" w:afterAutospacing="1" w:line="240" w:lineRule="auto"/>
        <w:jc w:val="both"/>
        <w:outlineLvl w:val="1"/>
        <w:rPr>
          <w:rFonts w:ascii="Arial" w:eastAsia="Times New Roman" w:hAnsi="Arial" w:cs="Arial"/>
          <w:b/>
          <w:bCs/>
          <w:kern w:val="0"/>
          <w:sz w:val="22"/>
          <w:szCs w:val="22"/>
          <w:lang w:eastAsia="en-NZ"/>
          <w14:ligatures w14:val="none"/>
        </w:rPr>
      </w:pPr>
      <w:r w:rsidRPr="0026447C">
        <w:rPr>
          <w:rFonts w:ascii="Arial" w:eastAsia="Times New Roman" w:hAnsi="Arial" w:cs="Arial"/>
          <w:b/>
          <w:bCs/>
          <w:kern w:val="0"/>
          <w:sz w:val="22"/>
          <w:szCs w:val="22"/>
          <w:lang w:eastAsia="en-NZ"/>
          <w14:ligatures w14:val="none"/>
        </w:rPr>
        <w:t>Earlier and More Severe Heart Failure in Māori/Pacific Patients but Comparable Treatment Optimisation in Remote Titration</w:t>
      </w:r>
    </w:p>
    <w:p w14:paraId="41D9473C" w14:textId="02C0D012" w:rsidR="00F501EC" w:rsidRPr="00A85C3D" w:rsidRDefault="00F501EC" w:rsidP="00F501EC">
      <w:pPr>
        <w:spacing w:before="100" w:beforeAutospacing="1" w:after="100" w:afterAutospacing="1" w:line="240" w:lineRule="auto"/>
        <w:jc w:val="both"/>
        <w:outlineLvl w:val="1"/>
        <w:rPr>
          <w:rFonts w:ascii="Arial" w:eastAsia="Times New Roman" w:hAnsi="Arial" w:cs="Arial"/>
          <w:b/>
          <w:bCs/>
          <w:kern w:val="0"/>
          <w:sz w:val="22"/>
          <w:szCs w:val="22"/>
          <w:lang w:eastAsia="en-NZ"/>
          <w14:ligatures w14:val="none"/>
        </w:rPr>
      </w:pPr>
      <w:r w:rsidRPr="00A85C3D">
        <w:rPr>
          <w:rFonts w:ascii="Arial" w:eastAsia="Times New Roman" w:hAnsi="Arial" w:cs="Arial"/>
          <w:b/>
          <w:bCs/>
          <w:kern w:val="0"/>
          <w:sz w:val="22"/>
          <w:szCs w:val="22"/>
          <w:lang w:eastAsia="en-NZ"/>
          <w14:ligatures w14:val="none"/>
        </w:rPr>
        <w:t>Introduction</w:t>
      </w:r>
    </w:p>
    <w:p w14:paraId="478E8FE7" w14:textId="77777777" w:rsidR="00F501EC" w:rsidRPr="00A85C3D" w:rsidRDefault="00F501EC" w:rsidP="00F501EC">
      <w:pPr>
        <w:spacing w:before="100" w:beforeAutospacing="1" w:after="100" w:afterAutospacing="1" w:line="240" w:lineRule="auto"/>
        <w:jc w:val="both"/>
        <w:rPr>
          <w:rFonts w:ascii="Arial" w:eastAsia="Times New Roman" w:hAnsi="Arial" w:cs="Arial"/>
          <w:kern w:val="0"/>
          <w:sz w:val="22"/>
          <w:szCs w:val="22"/>
          <w:lang w:eastAsia="en-NZ"/>
          <w14:ligatures w14:val="none"/>
        </w:rPr>
      </w:pPr>
      <w:r w:rsidRPr="00A85C3D">
        <w:rPr>
          <w:rFonts w:ascii="Arial" w:eastAsia="Times New Roman" w:hAnsi="Arial" w:cs="Arial"/>
          <w:kern w:val="0"/>
          <w:sz w:val="22"/>
          <w:szCs w:val="22"/>
          <w:lang w:eastAsia="en-NZ"/>
          <w14:ligatures w14:val="none"/>
        </w:rPr>
        <w:t>Equity in heart failure (HF) management remains a critical priority in Aotearoa New Zealand. This study compares clinical characteristics, treatment patterns, and outcomes between Māori/Pacific and non</w:t>
      </w:r>
      <w:r w:rsidRPr="00A85C3D">
        <w:rPr>
          <w:rFonts w:ascii="Arial" w:eastAsia="Times New Roman" w:hAnsi="Arial" w:cs="Arial"/>
          <w:kern w:val="0"/>
          <w:sz w:val="22"/>
          <w:szCs w:val="22"/>
          <w:lang w:eastAsia="en-NZ"/>
          <w14:ligatures w14:val="none"/>
        </w:rPr>
        <w:noBreakHyphen/>
        <w:t>Māori/non</w:t>
      </w:r>
      <w:r w:rsidRPr="00A85C3D">
        <w:rPr>
          <w:rFonts w:ascii="Arial" w:eastAsia="Times New Roman" w:hAnsi="Arial" w:cs="Arial"/>
          <w:kern w:val="0"/>
          <w:sz w:val="22"/>
          <w:szCs w:val="22"/>
          <w:lang w:eastAsia="en-NZ"/>
          <w14:ligatures w14:val="none"/>
        </w:rPr>
        <w:noBreakHyphen/>
        <w:t>Pacific patients enrolled in a Heart Failure Remote Titration Programme.</w:t>
      </w:r>
    </w:p>
    <w:p w14:paraId="43337938" w14:textId="77777777" w:rsidR="00F501EC" w:rsidRPr="00A85C3D" w:rsidRDefault="00F501EC" w:rsidP="00F501EC">
      <w:pPr>
        <w:spacing w:before="100" w:beforeAutospacing="1" w:after="100" w:afterAutospacing="1" w:line="240" w:lineRule="auto"/>
        <w:jc w:val="both"/>
        <w:outlineLvl w:val="1"/>
        <w:rPr>
          <w:rFonts w:ascii="Arial" w:eastAsia="Times New Roman" w:hAnsi="Arial" w:cs="Arial"/>
          <w:b/>
          <w:bCs/>
          <w:kern w:val="0"/>
          <w:sz w:val="22"/>
          <w:szCs w:val="22"/>
          <w:lang w:eastAsia="en-NZ"/>
          <w14:ligatures w14:val="none"/>
        </w:rPr>
      </w:pPr>
      <w:r w:rsidRPr="00A85C3D">
        <w:rPr>
          <w:rFonts w:ascii="Arial" w:eastAsia="Times New Roman" w:hAnsi="Arial" w:cs="Arial"/>
          <w:b/>
          <w:bCs/>
          <w:kern w:val="0"/>
          <w:sz w:val="22"/>
          <w:szCs w:val="22"/>
          <w:lang w:eastAsia="en-NZ"/>
          <w14:ligatures w14:val="none"/>
        </w:rPr>
        <w:t>Methods</w:t>
      </w:r>
    </w:p>
    <w:p w14:paraId="28BE2D31" w14:textId="77777777" w:rsidR="00F501EC" w:rsidRPr="00A85C3D" w:rsidRDefault="00F501EC" w:rsidP="00F501EC">
      <w:pPr>
        <w:spacing w:before="100" w:beforeAutospacing="1" w:after="100" w:afterAutospacing="1" w:line="240" w:lineRule="auto"/>
        <w:jc w:val="both"/>
        <w:rPr>
          <w:rFonts w:ascii="Arial" w:eastAsia="Times New Roman" w:hAnsi="Arial" w:cs="Arial"/>
          <w:kern w:val="0"/>
          <w:sz w:val="22"/>
          <w:szCs w:val="22"/>
          <w:lang w:eastAsia="en-NZ"/>
          <w14:ligatures w14:val="none"/>
        </w:rPr>
      </w:pPr>
      <w:r w:rsidRPr="00A85C3D">
        <w:rPr>
          <w:rFonts w:ascii="Arial" w:eastAsia="Times New Roman" w:hAnsi="Arial" w:cs="Arial"/>
          <w:kern w:val="0"/>
          <w:sz w:val="22"/>
          <w:szCs w:val="22"/>
          <w:lang w:eastAsia="en-NZ"/>
          <w14:ligatures w14:val="none"/>
        </w:rPr>
        <w:t>A retrospective analysis of 100 consecutive participants was undertaken. Demographics, comorbidities, medication titration, device therapy, and left ventricular ejection fraction (LVEF) outcomes were compared. Statistical testing used chi</w:t>
      </w:r>
      <w:r w:rsidRPr="00A85C3D">
        <w:rPr>
          <w:rFonts w:ascii="Arial" w:eastAsia="Times New Roman" w:hAnsi="Arial" w:cs="Arial"/>
          <w:kern w:val="0"/>
          <w:sz w:val="22"/>
          <w:szCs w:val="22"/>
          <w:lang w:eastAsia="en-NZ"/>
          <w14:ligatures w14:val="none"/>
        </w:rPr>
        <w:noBreakHyphen/>
        <w:t>square or Fisher’s exact tests for categorical variables and t</w:t>
      </w:r>
      <w:r w:rsidRPr="00A85C3D">
        <w:rPr>
          <w:rFonts w:ascii="Arial" w:eastAsia="Times New Roman" w:hAnsi="Arial" w:cs="Arial"/>
          <w:kern w:val="0"/>
          <w:sz w:val="22"/>
          <w:szCs w:val="22"/>
          <w:lang w:eastAsia="en-NZ"/>
          <w14:ligatures w14:val="none"/>
        </w:rPr>
        <w:noBreakHyphen/>
        <w:t>tests for continuous variables.</w:t>
      </w:r>
    </w:p>
    <w:p w14:paraId="22D86E18" w14:textId="77777777" w:rsidR="00F501EC" w:rsidRPr="00A85C3D" w:rsidRDefault="00F501EC" w:rsidP="00F501EC">
      <w:pPr>
        <w:spacing w:before="100" w:beforeAutospacing="1" w:after="100" w:afterAutospacing="1" w:line="240" w:lineRule="auto"/>
        <w:jc w:val="both"/>
        <w:outlineLvl w:val="1"/>
        <w:rPr>
          <w:rFonts w:ascii="Arial" w:eastAsia="Times New Roman" w:hAnsi="Arial" w:cs="Arial"/>
          <w:b/>
          <w:bCs/>
          <w:kern w:val="0"/>
          <w:sz w:val="22"/>
          <w:szCs w:val="22"/>
          <w:lang w:eastAsia="en-NZ"/>
          <w14:ligatures w14:val="none"/>
        </w:rPr>
      </w:pPr>
      <w:r w:rsidRPr="00A85C3D">
        <w:rPr>
          <w:rFonts w:ascii="Arial" w:eastAsia="Times New Roman" w:hAnsi="Arial" w:cs="Arial"/>
          <w:b/>
          <w:bCs/>
          <w:kern w:val="0"/>
          <w:sz w:val="22"/>
          <w:szCs w:val="22"/>
          <w:lang w:eastAsia="en-NZ"/>
          <w14:ligatures w14:val="none"/>
        </w:rPr>
        <w:t>Results</w:t>
      </w:r>
    </w:p>
    <w:p w14:paraId="64045885" w14:textId="77777777" w:rsidR="00F501EC" w:rsidRPr="00A85C3D" w:rsidRDefault="00F501EC" w:rsidP="00F501EC">
      <w:pPr>
        <w:spacing w:before="100" w:beforeAutospacing="1" w:after="100" w:afterAutospacing="1" w:line="240" w:lineRule="auto"/>
        <w:jc w:val="both"/>
        <w:rPr>
          <w:rFonts w:ascii="Arial" w:eastAsia="Times New Roman" w:hAnsi="Arial" w:cs="Arial"/>
          <w:kern w:val="0"/>
          <w:sz w:val="22"/>
          <w:szCs w:val="22"/>
          <w:lang w:eastAsia="en-NZ"/>
          <w14:ligatures w14:val="none"/>
        </w:rPr>
      </w:pPr>
      <w:r w:rsidRPr="00A85C3D">
        <w:rPr>
          <w:rFonts w:ascii="Arial" w:eastAsia="Times New Roman" w:hAnsi="Arial" w:cs="Arial"/>
          <w:kern w:val="0"/>
          <w:sz w:val="22"/>
          <w:szCs w:val="22"/>
          <w:lang w:eastAsia="en-NZ"/>
          <w14:ligatures w14:val="none"/>
        </w:rPr>
        <w:t>Māori/Pacific patients were significantly younger (54.6 vs 63.1 years; P = 0.003) and more frequently presented with severe baseline LVEF (79.2% vs 59.6%; P = 0.03). Despite greater disease severity, they achieved higher rates of full</w:t>
      </w:r>
      <w:r w:rsidRPr="00A85C3D">
        <w:rPr>
          <w:rFonts w:ascii="Arial" w:eastAsia="Times New Roman" w:hAnsi="Arial" w:cs="Arial"/>
          <w:kern w:val="0"/>
          <w:sz w:val="22"/>
          <w:szCs w:val="22"/>
          <w:lang w:eastAsia="en-NZ"/>
          <w14:ligatures w14:val="none"/>
        </w:rPr>
        <w:noBreakHyphen/>
        <w:t>dose beta</w:t>
      </w:r>
      <w:r w:rsidRPr="00A85C3D">
        <w:rPr>
          <w:rFonts w:ascii="Arial" w:eastAsia="Times New Roman" w:hAnsi="Arial" w:cs="Arial"/>
          <w:kern w:val="0"/>
          <w:sz w:val="22"/>
          <w:szCs w:val="22"/>
          <w:lang w:eastAsia="en-NZ"/>
          <w14:ligatures w14:val="none"/>
        </w:rPr>
        <w:noBreakHyphen/>
        <w:t>blocker therapy (41.7% vs 19.2%; P = 0.02) and Entresto use (77.1% vs 53.8%; P = 0.01). ICD implantation was more common among Māori/Pacific patients (8.3% vs 0%; P = 0.04). At follow</w:t>
      </w:r>
      <w:r w:rsidRPr="00A85C3D">
        <w:rPr>
          <w:rFonts w:ascii="Arial" w:eastAsia="Times New Roman" w:hAnsi="Arial" w:cs="Arial"/>
          <w:kern w:val="0"/>
          <w:sz w:val="22"/>
          <w:szCs w:val="22"/>
          <w:lang w:eastAsia="en-NZ"/>
          <w14:ligatures w14:val="none"/>
        </w:rPr>
        <w:noBreakHyphen/>
        <w:t>up, persistent severe LVEF remained higher in Māori/Pacific patients (12.5% vs 0%; P = 0.01). Engagement barriers disproportionately affected Māori/Pacific participants (37.5% vs 9.6%; P = 0.001), while bradycardia/ low blood pressure limiting titration was more common in others (28.8% vs 2.1%; P &lt; 0.001).</w:t>
      </w:r>
    </w:p>
    <w:p w14:paraId="15C4E34D" w14:textId="77777777" w:rsidR="00F501EC" w:rsidRPr="00A85C3D" w:rsidRDefault="00F501EC" w:rsidP="00F501EC">
      <w:pPr>
        <w:spacing w:before="100" w:beforeAutospacing="1" w:after="100" w:afterAutospacing="1" w:line="240" w:lineRule="auto"/>
        <w:jc w:val="both"/>
        <w:outlineLvl w:val="1"/>
        <w:rPr>
          <w:rFonts w:ascii="Arial" w:eastAsia="Times New Roman" w:hAnsi="Arial" w:cs="Arial"/>
          <w:b/>
          <w:bCs/>
          <w:kern w:val="0"/>
          <w:sz w:val="22"/>
          <w:szCs w:val="22"/>
          <w:lang w:eastAsia="en-NZ"/>
          <w14:ligatures w14:val="none"/>
        </w:rPr>
      </w:pPr>
      <w:r w:rsidRPr="00A85C3D">
        <w:rPr>
          <w:rFonts w:ascii="Arial" w:eastAsia="Times New Roman" w:hAnsi="Arial" w:cs="Arial"/>
          <w:b/>
          <w:bCs/>
          <w:kern w:val="0"/>
          <w:sz w:val="22"/>
          <w:szCs w:val="22"/>
          <w:lang w:eastAsia="en-NZ"/>
          <w14:ligatures w14:val="none"/>
        </w:rPr>
        <w:t>Conclusion</w:t>
      </w:r>
    </w:p>
    <w:p w14:paraId="3D50B38D" w14:textId="77777777" w:rsidR="00F501EC" w:rsidRPr="00EA5111" w:rsidRDefault="00F501EC" w:rsidP="00F501EC">
      <w:pPr>
        <w:spacing w:before="100" w:beforeAutospacing="1" w:after="100" w:afterAutospacing="1" w:line="240" w:lineRule="auto"/>
        <w:jc w:val="both"/>
        <w:rPr>
          <w:rFonts w:ascii="Times New Roman" w:eastAsia="Times New Roman" w:hAnsi="Times New Roman" w:cs="Times New Roman"/>
          <w:kern w:val="0"/>
          <w:lang w:eastAsia="en-NZ"/>
          <w14:ligatures w14:val="none"/>
        </w:rPr>
      </w:pPr>
      <w:r w:rsidRPr="00A85C3D">
        <w:rPr>
          <w:rFonts w:ascii="Arial" w:eastAsia="Times New Roman" w:hAnsi="Arial" w:cs="Arial"/>
          <w:kern w:val="0"/>
          <w:sz w:val="22"/>
          <w:szCs w:val="22"/>
          <w:lang w:eastAsia="en-NZ"/>
          <w14:ligatures w14:val="none"/>
        </w:rPr>
        <w:t>Māori and Pacific patients experience earlier and more severe HF but receive equivalent or superior optimisation of guideline</w:t>
      </w:r>
      <w:r w:rsidRPr="00A85C3D">
        <w:rPr>
          <w:rFonts w:ascii="Arial" w:eastAsia="Times New Roman" w:hAnsi="Arial" w:cs="Arial"/>
          <w:kern w:val="0"/>
          <w:sz w:val="22"/>
          <w:szCs w:val="22"/>
          <w:lang w:eastAsia="en-NZ"/>
          <w14:ligatures w14:val="none"/>
        </w:rPr>
        <w:noBreakHyphen/>
        <w:t>directed therapy once engaged in remote titration. The key equity gap lies not in treatment delivery but in earlier detection, timely access, and reducing engagement barriers. Strengthening culturally aligned pathways and improving early identification may help reduce these disparities</w:t>
      </w:r>
      <w:r w:rsidRPr="00EA5111">
        <w:rPr>
          <w:rFonts w:ascii="Times New Roman" w:eastAsia="Times New Roman" w:hAnsi="Times New Roman" w:cs="Times New Roman"/>
          <w:kern w:val="0"/>
          <w:lang w:eastAsia="en-NZ"/>
          <w14:ligatures w14:val="none"/>
        </w:rPr>
        <w:t>.</w:t>
      </w:r>
    </w:p>
    <w:p w14:paraId="0E0A75B3" w14:textId="77777777" w:rsidR="00F501EC" w:rsidRDefault="00F501EC"/>
    <w:sectPr w:rsidR="00F501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EC"/>
    <w:rsid w:val="0026447C"/>
    <w:rsid w:val="005F4037"/>
    <w:rsid w:val="007B29A4"/>
    <w:rsid w:val="00F501E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F475"/>
  <w15:chartTrackingRefBased/>
  <w15:docId w15:val="{FA43D1B3-BCDF-43F8-8696-3392EB9A8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1EC"/>
  </w:style>
  <w:style w:type="paragraph" w:styleId="Heading1">
    <w:name w:val="heading 1"/>
    <w:basedOn w:val="Normal"/>
    <w:next w:val="Normal"/>
    <w:link w:val="Heading1Char"/>
    <w:uiPriority w:val="9"/>
    <w:qFormat/>
    <w:rsid w:val="00F501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1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1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1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1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1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1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1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1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1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1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1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1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1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1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1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1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1EC"/>
    <w:rPr>
      <w:rFonts w:eastAsiaTheme="majorEastAsia" w:cstheme="majorBidi"/>
      <w:color w:val="272727" w:themeColor="text1" w:themeTint="D8"/>
    </w:rPr>
  </w:style>
  <w:style w:type="paragraph" w:styleId="Title">
    <w:name w:val="Title"/>
    <w:basedOn w:val="Normal"/>
    <w:next w:val="Normal"/>
    <w:link w:val="TitleChar"/>
    <w:uiPriority w:val="10"/>
    <w:qFormat/>
    <w:rsid w:val="00F50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1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1EC"/>
    <w:pPr>
      <w:spacing w:before="160"/>
      <w:jc w:val="center"/>
    </w:pPr>
    <w:rPr>
      <w:i/>
      <w:iCs/>
      <w:color w:val="404040" w:themeColor="text1" w:themeTint="BF"/>
    </w:rPr>
  </w:style>
  <w:style w:type="character" w:customStyle="1" w:styleId="QuoteChar">
    <w:name w:val="Quote Char"/>
    <w:basedOn w:val="DefaultParagraphFont"/>
    <w:link w:val="Quote"/>
    <w:uiPriority w:val="29"/>
    <w:rsid w:val="00F501EC"/>
    <w:rPr>
      <w:i/>
      <w:iCs/>
      <w:color w:val="404040" w:themeColor="text1" w:themeTint="BF"/>
    </w:rPr>
  </w:style>
  <w:style w:type="paragraph" w:styleId="ListParagraph">
    <w:name w:val="List Paragraph"/>
    <w:basedOn w:val="Normal"/>
    <w:uiPriority w:val="34"/>
    <w:qFormat/>
    <w:rsid w:val="00F501EC"/>
    <w:pPr>
      <w:ind w:left="720"/>
      <w:contextualSpacing/>
    </w:pPr>
  </w:style>
  <w:style w:type="character" w:styleId="IntenseEmphasis">
    <w:name w:val="Intense Emphasis"/>
    <w:basedOn w:val="DefaultParagraphFont"/>
    <w:uiPriority w:val="21"/>
    <w:qFormat/>
    <w:rsid w:val="00F501EC"/>
    <w:rPr>
      <w:i/>
      <w:iCs/>
      <w:color w:val="0F4761" w:themeColor="accent1" w:themeShade="BF"/>
    </w:rPr>
  </w:style>
  <w:style w:type="paragraph" w:styleId="IntenseQuote">
    <w:name w:val="Intense Quote"/>
    <w:basedOn w:val="Normal"/>
    <w:next w:val="Normal"/>
    <w:link w:val="IntenseQuoteChar"/>
    <w:uiPriority w:val="30"/>
    <w:qFormat/>
    <w:rsid w:val="00F50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1EC"/>
    <w:rPr>
      <w:i/>
      <w:iCs/>
      <w:color w:val="0F4761" w:themeColor="accent1" w:themeShade="BF"/>
    </w:rPr>
  </w:style>
  <w:style w:type="character" w:styleId="IntenseReference">
    <w:name w:val="Intense Reference"/>
    <w:basedOn w:val="DefaultParagraphFont"/>
    <w:uiPriority w:val="32"/>
    <w:qFormat/>
    <w:rsid w:val="00F501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McLachlan</dc:creator>
  <cp:keywords/>
  <dc:description/>
  <cp:lastModifiedBy>Kaylah McBirney</cp:lastModifiedBy>
  <cp:revision>2</cp:revision>
  <dcterms:created xsi:type="dcterms:W3CDTF">2026-05-05T01:22:00Z</dcterms:created>
  <dcterms:modified xsi:type="dcterms:W3CDTF">2026-05-05T01:22:00Z</dcterms:modified>
</cp:coreProperties>
</file>