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rFonts w:ascii="Aria" w:cs="Aria" w:eastAsia="Aria" w:hAnsi="Aria"/>
                <w:sz w:val="22"/>
                <w:szCs w:val="22"/>
              </w:rPr>
            </w:pPr>
            <w:r w:rsidDel="00000000" w:rsidR="00000000" w:rsidRPr="00000000">
              <w:rPr>
                <w:rFonts w:ascii="Aria" w:cs="Aria" w:eastAsia="Aria" w:hAnsi="Aria"/>
                <w:b w:val="1"/>
                <w:sz w:val="22"/>
                <w:szCs w:val="22"/>
                <w:rtl w:val="0"/>
              </w:rPr>
              <w:t xml:space="preserve">Benchmarking under- and above-canopy laser scanning solutions, including autonomous drones, for deriving tree attributes in boreal forests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14.912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Detailed information regarding forests is required for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utilizing them for economic purposes,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while simultaneously maintaining biodiversity and their carbon sink properties [1]. For this purpose, individual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forest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inventories are needed. Such inventories require accurate field reference for main tree attributes (diameter, volume, height and location), and should be fast to collect from a large area.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 this study, w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compared the accuracy of the tree attributes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location automatically derived from point clouds of several laser scanning systems, operating both under- and above the forest canopy to provi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 this reference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Methods: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benchmark was performed on test sites located in Evo, Finland. Six </w:t>
            </w:r>
            <m:oMath>
              <m:r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32x32</m:t>
              </m:r>
            </m:oMath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 plots were used for the tree attribute benchmark, and a 800-m-long positioning track for evaluating the accuracy and precision of the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The forest conditions varied from sparse, managed boreal forest mainly consisting of Scots pine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Pinus sylvestris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to dense natural boreal forest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a mix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 coniferous and deciduous trees.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plots were categorized into easy and difficult plots based on the tree density and tree composition.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utilized an automatic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tool [2]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deriving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tree attributes and location, along with a novel bias compensation method to calibrate out the bias caused by the finite width of the laser beam.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compared several state-of-the-art mobile laser scanners (MLS) operating under the forest canopy, and an airborne laser scanner (ALS) flying approximately 100 m above the canopy. The MLS systems included handheld devices and autonomous under-canopy drones, both in-house developed and commercial.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Results: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positioning accuracy and precision (RMSE) of the ALS was &lt;5 cm horizontally, and &lt;10 cm vertically.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positioning precision of MLS devices were approximately 15 cm for the full positioning track and 5-15 cm for a half-track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the best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performing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MLS system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accuracy of the derived tree attributes; stem curve, diameter at breast height (DBH), stem volume and tree height ranged from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5–10 % RMSE for all attributes except for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tree height and volume i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 the densest plots, with high understory vegetation, where the error was approximately 20 %. The accuracy of high-density ALS data was 10–25 %. The bias compensation reduced the bias of the tree diameter estimates by 55–99 %.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Conclusion: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positioning accuracy and precision of hi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gh-density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ALS was equal or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better than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traditional field reference collected with a total station, while being orders of magnitude faster to collect from a large area, and thus can be used as a reference in future studies. The precision of the under-canopy laser scanners were also sufficient to unambiguously distinguish neighboring trees, which is required for use in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 individual-tree-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forest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inventory. However, their ability to localize themselves in a global frame was lacking.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accuracy of the derived tree attributes from the most accurate under-canopy laser scanner systems were sufficient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 use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as a referen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 for individual-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inventor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&lt;10 % RMSE).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The laser scanners with high beam divergence (and ALS) did not reach the required accuracy even with the help from the bias compensation.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References: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[1] Prasad, A., Pedlar, J., Peters M.,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McKenney, D.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Iverson, L.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Matthews, S.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Adams, B.,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2020, Combining US and Canadian forest inventories to assess habitat suitability and migration potential of 25 tree species under climate change.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Divers Distrib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26: 1142–1159.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[2] Hyyppä, E., Kukko, A., Kaijaluoto, R., White, J.C., Wulder, M.A., Pyörälä, J., Liang,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X., Yu, X., Wang, Y., Kaartinen, H., Virtanen, J.P., Hyyppä, J., 2020. Accurate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derivation of stem curve and volume using backpack mobile laser scanning. ISPRS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Journal of Photogrammetry and Remote Sensing 161, 246–262.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999" w:left="1440" w:right="1440" w:header="14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564A4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en-US" w:val="en-GB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4" w:customStyle="1">
    <w:name w:val="A4"/>
    <w:uiPriority w:val="99"/>
    <w:qFormat w:val="1"/>
    <w:rsid w:val="001564A4"/>
    <w:rPr>
      <w:color w:val="000000"/>
      <w:sz w:val="22"/>
      <w:szCs w:val="22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</w:rPr>
  </w:style>
  <w:style w:type="paragraph" w:styleId="Default" w:customStyle="1">
    <w:name w:val="Default"/>
    <w:qFormat w:val="1"/>
    <w:rsid w:val="001564A4"/>
    <w:pPr>
      <w:widowControl w:val="1"/>
      <w:bidi w:val="0"/>
      <w:spacing w:after="0" w:before="0"/>
      <w:jc w:val="left"/>
    </w:pPr>
    <w:rPr>
      <w:rFonts w:ascii="Arial" w:cs="Arial" w:eastAsia="Times New Roman" w:hAnsi="Arial"/>
      <w:color w:val="000000"/>
      <w:kern w:val="0"/>
      <w:sz w:val="24"/>
      <w:szCs w:val="24"/>
      <w:lang w:bidi="ar-SA" w:eastAsia="en-NZ" w:val="en-NZ"/>
    </w:rPr>
  </w:style>
  <w:style w:type="paragraph" w:styleId="Pa12" w:customStyle="1">
    <w:name w:val="Pa12"/>
    <w:basedOn w:val="Default"/>
    <w:next w:val="Default"/>
    <w:uiPriority w:val="99"/>
    <w:qFormat w:val="1"/>
    <w:rsid w:val="001564A4"/>
    <w:pPr>
      <w:spacing w:line="241" w:lineRule="atLeast"/>
    </w:pPr>
    <w:rPr>
      <w:color w:val="auto"/>
    </w:rPr>
  </w:style>
  <w:style w:type="paragraph" w:styleId="HeaderandFooter">
    <w:name w:val="Header and Footer"/>
    <w:basedOn w:val="Normal"/>
    <w:qFormat w:val="1"/>
    <w:pPr>
      <w:suppressLineNumbers w:val="1"/>
      <w:tabs>
        <w:tab w:val="clear" w:pos="720"/>
        <w:tab w:val="center" w:leader="none" w:pos="4513"/>
        <w:tab w:val="right" w:leader="none" w:pos="9026"/>
      </w:tabs>
    </w:pPr>
    <w:rPr/>
  </w:style>
  <w:style w:type="paragraph" w:styleId="Header">
    <w:name w:val="Header"/>
    <w:basedOn w:val="HeaderandFooter"/>
    <w:pPr>
      <w:suppressLineNumbers w:val="1"/>
    </w:pPr>
    <w:rPr/>
  </w:style>
  <w:style w:type="paragraph" w:styleId="HorizontalLine">
    <w:name w:val="Horizontal Line"/>
    <w:basedOn w:val="Normal"/>
    <w:next w:val="TextBody"/>
    <w:qFormat w:val="1"/>
    <w:pPr>
      <w:suppressLineNumbers w:val="1"/>
      <w:pBdr>
        <w:bottom w:color="808080" w:space="0" w:sz="2" w:val="double"/>
      </w:pBdr>
      <w:spacing w:after="283" w:before="0"/>
    </w:pPr>
    <w:rPr>
      <w:sz w:val="12"/>
      <w:szCs w:val="12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XgttTBB97zj1b5OA5tXU5ek7w==">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2020-08-27T00:40:00Z</dcterms:created>
  <dc:creator>Lele Talagi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0x01010004DB0B76CE105D459F58063C0D0B3831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