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2"/>
        <w:tblGridChange w:id="0">
          <w:tblGrid>
            <w:gridCol w:w="8642"/>
          </w:tblGrid>
        </w:tblGridChange>
      </w:tblGrid>
      <w:tr>
        <w:trPr>
          <w:cantSplit w:val="0"/>
          <w:tblHeader w:val="0"/>
        </w:trPr>
        <w:tc>
          <w:tcPr>
            <w:shd w:fill="auto" w:val="clear"/>
          </w:tcPr>
          <w:p w:rsidR="00000000" w:rsidDel="00000000" w:rsidP="00000000" w:rsidRDefault="00000000" w:rsidRPr="00000000" w14:paraId="00000002">
            <w:pPr>
              <w:spacing w:after="120" w:before="120" w:lineRule="auto"/>
              <w:rPr>
                <w:rFonts w:ascii="Arial" w:cs="Arial" w:eastAsia="Arial" w:hAnsi="Arial"/>
                <w:b w:val="1"/>
                <w:sz w:val="22"/>
                <w:szCs w:val="22"/>
              </w:rPr>
            </w:pPr>
            <w:r w:rsidDel="00000000" w:rsidR="00000000" w:rsidRPr="00000000">
              <w:rPr>
                <w:rFonts w:ascii="Roboto" w:cs="Roboto" w:eastAsia="Roboto" w:hAnsi="Roboto"/>
                <w:b w:val="1"/>
                <w:color w:val="1f1f1f"/>
                <w:sz w:val="21"/>
                <w:szCs w:val="21"/>
                <w:highlight w:val="white"/>
                <w:rtl w:val="0"/>
              </w:rPr>
              <w:t xml:space="preserve">X-ray Velocimetry functional lung imaging identifies the origin of ventilation defects in Hurler Syndrome (MPS I) mice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3">
            <w:pPr>
              <w:spacing w:after="120" w:before="120" w:lineRule="auto"/>
              <w:rPr>
                <w:rFonts w:ascii="Arial" w:cs="Arial" w:eastAsia="Arial" w:hAnsi="Arial"/>
                <w:sz w:val="22"/>
                <w:szCs w:val="22"/>
                <w:u w:val="single"/>
                <w:vertAlign w:val="superscript"/>
              </w:rPr>
            </w:pPr>
            <w:r w:rsidDel="00000000" w:rsidR="00000000" w:rsidRPr="00000000">
              <w:rPr>
                <w:rFonts w:ascii="Arial" w:cs="Arial" w:eastAsia="Arial" w:hAnsi="Arial"/>
                <w:sz w:val="22"/>
                <w:szCs w:val="22"/>
                <w:rtl w:val="0"/>
              </w:rPr>
              <w:t xml:space="preserve">Martin Donnelley</w:t>
            </w:r>
            <w:r w:rsidDel="00000000" w:rsidR="00000000" w:rsidRPr="00000000">
              <w:rPr>
                <w:rFonts w:ascii="Arial" w:cs="Arial" w:eastAsia="Arial" w:hAnsi="Arial"/>
                <w:sz w:val="22"/>
                <w:szCs w:val="22"/>
                <w:vertAlign w:val="superscript"/>
                <w:rtl w:val="0"/>
              </w:rPr>
              <w:t xml:space="preserve">1-3</w:t>
            </w:r>
            <w:r w:rsidDel="00000000" w:rsidR="00000000" w:rsidRPr="00000000">
              <w:rPr>
                <w:rFonts w:ascii="Arial" w:cs="Arial" w:eastAsia="Arial" w:hAnsi="Arial"/>
                <w:sz w:val="22"/>
                <w:szCs w:val="22"/>
                <w:rtl w:val="0"/>
              </w:rPr>
              <w:t xml:space="preserve">, Patricia Cmielewski</w:t>
            </w:r>
            <w:r w:rsidDel="00000000" w:rsidR="00000000" w:rsidRPr="00000000">
              <w:rPr>
                <w:rFonts w:ascii="Arial" w:cs="Arial" w:eastAsia="Arial" w:hAnsi="Arial"/>
                <w:sz w:val="22"/>
                <w:szCs w:val="22"/>
                <w:vertAlign w:val="superscript"/>
                <w:rtl w:val="0"/>
              </w:rPr>
              <w:t xml:space="preserve">1-3</w:t>
            </w:r>
            <w:r w:rsidDel="00000000" w:rsidR="00000000" w:rsidRPr="00000000">
              <w:rPr>
                <w:rFonts w:ascii="Arial" w:cs="Arial" w:eastAsia="Arial" w:hAnsi="Arial"/>
                <w:sz w:val="22"/>
                <w:szCs w:val="22"/>
                <w:rtl w:val="0"/>
              </w:rPr>
              <w:t xml:space="preserve">, Ronan Smith</w:t>
            </w:r>
            <w:r w:rsidDel="00000000" w:rsidR="00000000" w:rsidRPr="00000000">
              <w:rPr>
                <w:rFonts w:ascii="Arial" w:cs="Arial" w:eastAsia="Arial" w:hAnsi="Arial"/>
                <w:sz w:val="22"/>
                <w:szCs w:val="22"/>
                <w:vertAlign w:val="superscript"/>
                <w:rtl w:val="0"/>
              </w:rPr>
              <w:t xml:space="preserve">1-3</w:t>
            </w:r>
            <w:r w:rsidDel="00000000" w:rsidR="00000000" w:rsidRPr="00000000">
              <w:rPr>
                <w:rFonts w:ascii="Arial" w:cs="Arial" w:eastAsia="Arial" w:hAnsi="Arial"/>
                <w:sz w:val="22"/>
                <w:szCs w:val="22"/>
                <w:rtl w:val="0"/>
              </w:rPr>
              <w:t xml:space="preserve">, Piraveen </w:t>
            </w:r>
            <w:r w:rsidDel="00000000" w:rsidR="00000000" w:rsidRPr="00000000">
              <w:rPr>
                <w:rFonts w:ascii="Arial" w:cs="Arial" w:eastAsia="Arial" w:hAnsi="Arial"/>
                <w:sz w:val="22"/>
                <w:szCs w:val="22"/>
                <w:rtl w:val="0"/>
              </w:rPr>
              <w:t xml:space="preserve">Pirakalathanan</w:t>
            </w:r>
            <w:r w:rsidDel="00000000" w:rsidR="00000000" w:rsidRPr="00000000">
              <w:rPr>
                <w:rFonts w:ascii="Arial" w:cs="Arial" w:eastAsia="Arial" w:hAnsi="Arial"/>
                <w:sz w:val="22"/>
                <w:szCs w:val="22"/>
                <w:vertAlign w:val="superscript"/>
                <w:rtl w:val="0"/>
              </w:rPr>
              <w:t xml:space="preserve">4</w:t>
            </w:r>
            <w:r w:rsidDel="00000000" w:rsidR="00000000" w:rsidRPr="00000000">
              <w:rPr>
                <w:rFonts w:ascii="Arial" w:cs="Arial" w:eastAsia="Arial" w:hAnsi="Arial"/>
                <w:sz w:val="22"/>
                <w:szCs w:val="22"/>
                <w:rtl w:val="0"/>
              </w:rPr>
              <w:t xml:space="preserve">, Nina Eikelis</w:t>
            </w:r>
            <w:r w:rsidDel="00000000" w:rsidR="00000000" w:rsidRPr="00000000">
              <w:rPr>
                <w:rFonts w:ascii="Arial" w:cs="Arial" w:eastAsia="Arial" w:hAnsi="Arial"/>
                <w:sz w:val="22"/>
                <w:szCs w:val="22"/>
                <w:vertAlign w:val="superscript"/>
                <w:rtl w:val="0"/>
              </w:rPr>
              <w:t xml:space="preserve">4</w:t>
            </w:r>
            <w:r w:rsidDel="00000000" w:rsidR="00000000" w:rsidRPr="00000000">
              <w:rPr>
                <w:rFonts w:ascii="Arial" w:cs="Arial" w:eastAsia="Arial" w:hAnsi="Arial"/>
                <w:sz w:val="22"/>
                <w:szCs w:val="22"/>
                <w:rtl w:val="0"/>
              </w:rPr>
              <w:t xml:space="preserve">, Kris Nilsen</w:t>
            </w:r>
            <w:r w:rsidDel="00000000" w:rsidR="00000000" w:rsidRPr="00000000">
              <w:rPr>
                <w:rFonts w:ascii="Arial" w:cs="Arial" w:eastAsia="Arial" w:hAnsi="Arial"/>
                <w:sz w:val="22"/>
                <w:szCs w:val="22"/>
                <w:vertAlign w:val="superscript"/>
                <w:rtl w:val="0"/>
              </w:rPr>
              <w:t xml:space="preserve">4</w:t>
            </w:r>
            <w:r w:rsidDel="00000000" w:rsidR="00000000" w:rsidRPr="00000000">
              <w:rPr>
                <w:rFonts w:ascii="Arial" w:cs="Arial" w:eastAsia="Arial" w:hAnsi="Arial"/>
                <w:sz w:val="22"/>
                <w:szCs w:val="22"/>
                <w:rtl w:val="0"/>
              </w:rPr>
              <w:t xml:space="preserve">, Jennie Louise</w:t>
            </w:r>
            <w:r w:rsidDel="00000000" w:rsidR="00000000" w:rsidRPr="00000000">
              <w:rPr>
                <w:rFonts w:ascii="Arial" w:cs="Arial" w:eastAsia="Arial" w:hAnsi="Arial"/>
                <w:sz w:val="22"/>
                <w:szCs w:val="22"/>
                <w:vertAlign w:val="superscript"/>
                <w:rtl w:val="0"/>
              </w:rPr>
              <w:t xml:space="preserve">5</w:t>
            </w:r>
            <w:r w:rsidDel="00000000" w:rsidR="00000000" w:rsidRPr="00000000">
              <w:rPr>
                <w:rFonts w:ascii="Arial" w:cs="Arial" w:eastAsia="Arial" w:hAnsi="Arial"/>
                <w:sz w:val="22"/>
                <w:szCs w:val="22"/>
                <w:rtl w:val="0"/>
              </w:rPr>
              <w:t xml:space="preserve">, Mark Lawrence</w:t>
            </w:r>
            <w:r w:rsidDel="00000000" w:rsidR="00000000" w:rsidRPr="00000000">
              <w:rPr>
                <w:rFonts w:ascii="Arial" w:cs="Arial" w:eastAsia="Arial" w:hAnsi="Arial"/>
                <w:sz w:val="22"/>
                <w:szCs w:val="22"/>
                <w:vertAlign w:val="superscript"/>
                <w:rtl w:val="0"/>
              </w:rPr>
              <w:t xml:space="preserve">6</w:t>
            </w:r>
            <w:r w:rsidDel="00000000" w:rsidR="00000000" w:rsidRPr="00000000">
              <w:rPr>
                <w:rFonts w:ascii="Arial" w:cs="Arial" w:eastAsia="Arial" w:hAnsi="Arial"/>
                <w:sz w:val="22"/>
                <w:szCs w:val="22"/>
                <w:rtl w:val="0"/>
              </w:rPr>
              <w:t xml:space="preserve">, David Parsons</w:t>
            </w:r>
            <w:r w:rsidDel="00000000" w:rsidR="00000000" w:rsidRPr="00000000">
              <w:rPr>
                <w:rFonts w:ascii="Arial" w:cs="Arial" w:eastAsia="Arial" w:hAnsi="Arial"/>
                <w:sz w:val="22"/>
                <w:szCs w:val="22"/>
                <w:vertAlign w:val="superscript"/>
                <w:rtl w:val="0"/>
              </w:rPr>
              <w:t xml:space="preserve">1-3</w:t>
            </w:r>
            <w:r w:rsidDel="00000000" w:rsidR="00000000" w:rsidRPr="00000000">
              <w:rPr>
                <w:rFonts w:ascii="Arial" w:cs="Arial" w:eastAsia="Arial" w:hAnsi="Arial"/>
                <w:sz w:val="22"/>
                <w:szCs w:val="22"/>
                <w:rtl w:val="0"/>
              </w:rPr>
              <w:t xml:space="preserve">, Kate Barratt</w:t>
            </w:r>
            <w:r w:rsidDel="00000000" w:rsidR="00000000" w:rsidRPr="00000000">
              <w:rPr>
                <w:rFonts w:ascii="Arial" w:cs="Arial" w:eastAsia="Arial" w:hAnsi="Arial"/>
                <w:sz w:val="22"/>
                <w:szCs w:val="22"/>
                <w:vertAlign w:val="superscript"/>
                <w:rtl w:val="0"/>
              </w:rPr>
              <w:t xml:space="preserve">7</w:t>
            </w:r>
            <w:r w:rsidDel="00000000" w:rsidR="00000000" w:rsidRPr="00000000">
              <w:rPr>
                <w:rFonts w:ascii="Arial" w:cs="Arial" w:eastAsia="Arial" w:hAnsi="Arial"/>
                <w:sz w:val="22"/>
                <w:szCs w:val="22"/>
                <w:rtl w:val="0"/>
              </w:rPr>
              <w:t xml:space="preserve">, Jessica Logan</w:t>
            </w:r>
            <w:r w:rsidDel="00000000" w:rsidR="00000000" w:rsidRPr="00000000">
              <w:rPr>
                <w:rFonts w:ascii="Arial" w:cs="Arial" w:eastAsia="Arial" w:hAnsi="Arial"/>
                <w:sz w:val="22"/>
                <w:szCs w:val="22"/>
                <w:vertAlign w:val="superscript"/>
                <w:rtl w:val="0"/>
              </w:rPr>
              <w:t xml:space="preserve">8</w:t>
            </w:r>
            <w:r w:rsidDel="00000000" w:rsidR="00000000" w:rsidRPr="00000000">
              <w:rPr>
                <w:rFonts w:ascii="Arial" w:cs="Arial" w:eastAsia="Arial" w:hAnsi="Arial"/>
                <w:sz w:val="22"/>
                <w:szCs w:val="22"/>
                <w:rtl w:val="0"/>
              </w:rPr>
              <w:t xml:space="preserve">, Ben Ung</w:t>
            </w:r>
            <w:r w:rsidDel="00000000" w:rsidR="00000000" w:rsidRPr="00000000">
              <w:rPr>
                <w:rFonts w:ascii="Arial" w:cs="Arial" w:eastAsia="Arial" w:hAnsi="Arial"/>
                <w:sz w:val="22"/>
                <w:szCs w:val="22"/>
                <w:vertAlign w:val="superscript"/>
                <w:rtl w:val="0"/>
              </w:rPr>
              <w:t xml:space="preserve">9</w:t>
            </w:r>
            <w:r w:rsidDel="00000000" w:rsidR="00000000" w:rsidRPr="00000000">
              <w:rPr>
                <w:rFonts w:ascii="Arial" w:cs="Arial" w:eastAsia="Arial" w:hAnsi="Arial"/>
                <w:sz w:val="22"/>
                <w:szCs w:val="22"/>
                <w:rtl w:val="0"/>
              </w:rPr>
              <w:t xml:space="preserve">, Doug Brooks</w:t>
            </w:r>
            <w:r w:rsidDel="00000000" w:rsidR="00000000" w:rsidRPr="00000000">
              <w:rPr>
                <w:rFonts w:ascii="Arial" w:cs="Arial" w:eastAsia="Arial" w:hAnsi="Arial"/>
                <w:sz w:val="22"/>
                <w:szCs w:val="22"/>
                <w:vertAlign w:val="superscript"/>
                <w:rtl w:val="0"/>
              </w:rPr>
              <w:t xml:space="preserve">8</w:t>
            </w:r>
            <w:r w:rsidDel="00000000" w:rsidR="00000000" w:rsidRPr="00000000">
              <w:rPr>
                <w:rFonts w:ascii="Arial" w:cs="Arial" w:eastAsia="Arial" w:hAnsi="Arial"/>
                <w:sz w:val="22"/>
                <w:szCs w:val="22"/>
                <w:rtl w:val="0"/>
              </w:rPr>
              <w:t xml:space="preserve">, Sandra Orgeig</w:t>
            </w:r>
            <w:r w:rsidDel="00000000" w:rsidR="00000000" w:rsidRPr="00000000">
              <w:rPr>
                <w:rFonts w:ascii="Arial" w:cs="Arial" w:eastAsia="Arial" w:hAnsi="Arial"/>
                <w:sz w:val="22"/>
                <w:szCs w:val="22"/>
                <w:vertAlign w:val="superscript"/>
                <w:rtl w:val="0"/>
              </w:rPr>
              <w:t xml:space="preserve">8</w:t>
            </w:r>
            <w:r w:rsidDel="00000000" w:rsidR="00000000" w:rsidRPr="00000000">
              <w:rPr>
                <w:rFonts w:ascii="Arial" w:cs="Arial" w:eastAsia="Arial" w:hAnsi="Arial"/>
                <w:sz w:val="22"/>
                <w:szCs w:val="22"/>
                <w:rtl w:val="0"/>
              </w:rPr>
              <w:t xml:space="preserve"> and Emma Parkinson-Lawrence</w:t>
            </w:r>
            <w:r w:rsidDel="00000000" w:rsidR="00000000" w:rsidRPr="00000000">
              <w:rPr>
                <w:rFonts w:ascii="Arial" w:cs="Arial" w:eastAsia="Arial" w:hAnsi="Arial"/>
                <w:sz w:val="22"/>
                <w:szCs w:val="22"/>
                <w:vertAlign w:val="superscript"/>
                <w:rtl w:val="0"/>
              </w:rPr>
              <w:t xml:space="preserve">8</w:t>
            </w:r>
            <w:r w:rsidDel="00000000" w:rsidR="00000000" w:rsidRPr="00000000">
              <w:rPr>
                <w:rtl w:val="0"/>
              </w:rPr>
            </w:r>
          </w:p>
        </w:tc>
      </w:tr>
      <w:tr>
        <w:trPr>
          <w:cantSplit w:val="0"/>
          <w:trHeight w:val="136" w:hRule="atLeast"/>
          <w:tblHeader w:val="0"/>
        </w:trPr>
        <w:tc>
          <w:tcPr>
            <w:shd w:fill="auto" w:val="clear"/>
          </w:tcPr>
          <w:p w:rsidR="00000000" w:rsidDel="00000000" w:rsidP="00000000" w:rsidRDefault="00000000" w:rsidRPr="00000000" w14:paraId="00000004">
            <w:pPr>
              <w:spacing w:after="120" w:before="120" w:lineRule="auto"/>
              <w:rPr>
                <w:rFonts w:ascii="Arial" w:cs="Arial" w:eastAsia="Arial" w:hAnsi="Arial"/>
                <w:i w:val="1"/>
                <w:sz w:val="22"/>
                <w:szCs w:val="22"/>
              </w:rPr>
            </w:pPr>
            <w:r w:rsidDel="00000000" w:rsidR="00000000" w:rsidRPr="00000000">
              <w:rPr>
                <w:rFonts w:ascii="Arial" w:cs="Arial" w:eastAsia="Arial" w:hAnsi="Arial"/>
                <w:i w:val="1"/>
                <w:sz w:val="22"/>
                <w:szCs w:val="22"/>
                <w:vertAlign w:val="superscript"/>
                <w:rtl w:val="0"/>
              </w:rPr>
              <w:t xml:space="preserve">1</w:t>
            </w:r>
            <w:r w:rsidDel="00000000" w:rsidR="00000000" w:rsidRPr="00000000">
              <w:rPr>
                <w:rFonts w:ascii="Arial" w:cs="Arial" w:eastAsia="Arial" w:hAnsi="Arial"/>
                <w:i w:val="1"/>
                <w:sz w:val="22"/>
                <w:szCs w:val="22"/>
                <w:rtl w:val="0"/>
              </w:rPr>
              <w:t xml:space="preserve">Robinson Research Institute, University of Adelaide, South Australia. </w:t>
            </w:r>
            <w:r w:rsidDel="00000000" w:rsidR="00000000" w:rsidRPr="00000000">
              <w:rPr>
                <w:rFonts w:ascii="Arial" w:cs="Arial" w:eastAsia="Arial" w:hAnsi="Arial"/>
                <w:i w:val="1"/>
                <w:sz w:val="22"/>
                <w:szCs w:val="22"/>
                <w:vertAlign w:val="superscript"/>
                <w:rtl w:val="0"/>
              </w:rPr>
              <w:t xml:space="preserve">2</w:t>
            </w:r>
            <w:r w:rsidDel="00000000" w:rsidR="00000000" w:rsidRPr="00000000">
              <w:rPr>
                <w:rFonts w:ascii="Arial" w:cs="Arial" w:eastAsia="Arial" w:hAnsi="Arial"/>
                <w:i w:val="1"/>
                <w:sz w:val="22"/>
                <w:szCs w:val="22"/>
                <w:rtl w:val="0"/>
              </w:rPr>
              <w:t xml:space="preserve">Adelaide Medical School, University of Adelaide, South Australia. </w:t>
            </w:r>
            <w:r w:rsidDel="00000000" w:rsidR="00000000" w:rsidRPr="00000000">
              <w:rPr>
                <w:rFonts w:ascii="Arial" w:cs="Arial" w:eastAsia="Arial" w:hAnsi="Arial"/>
                <w:i w:val="1"/>
                <w:sz w:val="22"/>
                <w:szCs w:val="22"/>
                <w:vertAlign w:val="superscript"/>
                <w:rtl w:val="0"/>
              </w:rPr>
              <w:t xml:space="preserve">3</w:t>
            </w:r>
            <w:r w:rsidDel="00000000" w:rsidR="00000000" w:rsidRPr="00000000">
              <w:rPr>
                <w:rFonts w:ascii="Arial" w:cs="Arial" w:eastAsia="Arial" w:hAnsi="Arial"/>
                <w:i w:val="1"/>
                <w:sz w:val="22"/>
                <w:szCs w:val="22"/>
                <w:rtl w:val="0"/>
              </w:rPr>
              <w:t xml:space="preserve">Respiratory and Sleep Medicine, Women's and Children's Hospital, South Australia. </w:t>
            </w:r>
            <w:r w:rsidDel="00000000" w:rsidR="00000000" w:rsidRPr="00000000">
              <w:rPr>
                <w:rFonts w:ascii="Arial" w:cs="Arial" w:eastAsia="Arial" w:hAnsi="Arial"/>
                <w:i w:val="1"/>
                <w:sz w:val="22"/>
                <w:szCs w:val="22"/>
                <w:vertAlign w:val="superscript"/>
                <w:rtl w:val="0"/>
              </w:rPr>
              <w:t xml:space="preserve">4</w:t>
            </w:r>
            <w:r w:rsidDel="00000000" w:rsidR="00000000" w:rsidRPr="00000000">
              <w:rPr>
                <w:rFonts w:ascii="Arial" w:cs="Arial" w:eastAsia="Arial" w:hAnsi="Arial"/>
                <w:i w:val="1"/>
                <w:sz w:val="22"/>
                <w:szCs w:val="22"/>
                <w:rtl w:val="0"/>
              </w:rPr>
              <w:t xml:space="preserve">4DMedical, Victoria, Australia. </w:t>
            </w:r>
            <w:r w:rsidDel="00000000" w:rsidR="00000000" w:rsidRPr="00000000">
              <w:rPr>
                <w:rFonts w:ascii="Arial" w:cs="Arial" w:eastAsia="Arial" w:hAnsi="Arial"/>
                <w:i w:val="1"/>
                <w:sz w:val="22"/>
                <w:szCs w:val="22"/>
                <w:vertAlign w:val="superscript"/>
                <w:rtl w:val="0"/>
              </w:rPr>
              <w:t xml:space="preserve">5</w:t>
            </w:r>
            <w:r w:rsidDel="00000000" w:rsidR="00000000" w:rsidRPr="00000000">
              <w:rPr>
                <w:rFonts w:ascii="Arial" w:cs="Arial" w:eastAsia="Arial" w:hAnsi="Arial"/>
                <w:i w:val="1"/>
                <w:sz w:val="22"/>
                <w:szCs w:val="22"/>
                <w:rtl w:val="0"/>
              </w:rPr>
              <w:t xml:space="preserve">Biostatistics Unit, South Australian Health and Medical Research Institute. </w:t>
            </w:r>
            <w:r w:rsidDel="00000000" w:rsidR="00000000" w:rsidRPr="00000000">
              <w:rPr>
                <w:rFonts w:ascii="Arial" w:cs="Arial" w:eastAsia="Arial" w:hAnsi="Arial"/>
                <w:i w:val="1"/>
                <w:sz w:val="22"/>
                <w:szCs w:val="22"/>
                <w:vertAlign w:val="superscript"/>
                <w:rtl w:val="0"/>
              </w:rPr>
              <w:t xml:space="preserve">6</w:t>
            </w:r>
            <w:r w:rsidDel="00000000" w:rsidR="00000000" w:rsidRPr="00000000">
              <w:rPr>
                <w:rFonts w:ascii="Arial" w:cs="Arial" w:eastAsia="Arial" w:hAnsi="Arial"/>
                <w:i w:val="1"/>
                <w:sz w:val="22"/>
                <w:szCs w:val="22"/>
                <w:rtl w:val="0"/>
              </w:rPr>
              <w:t xml:space="preserve">SCIREQ, Montreal, Canada. </w:t>
            </w:r>
            <w:r w:rsidDel="00000000" w:rsidR="00000000" w:rsidRPr="00000000">
              <w:rPr>
                <w:rFonts w:ascii="Arial" w:cs="Arial" w:eastAsia="Arial" w:hAnsi="Arial"/>
                <w:i w:val="1"/>
                <w:sz w:val="22"/>
                <w:szCs w:val="22"/>
                <w:vertAlign w:val="superscript"/>
                <w:rtl w:val="0"/>
              </w:rPr>
              <w:t xml:space="preserve">7</w:t>
            </w:r>
            <w:r w:rsidDel="00000000" w:rsidR="00000000" w:rsidRPr="00000000">
              <w:rPr>
                <w:rFonts w:ascii="Arial" w:cs="Arial" w:eastAsia="Arial" w:hAnsi="Arial"/>
                <w:i w:val="1"/>
                <w:sz w:val="22"/>
                <w:szCs w:val="22"/>
                <w:rtl w:val="0"/>
              </w:rPr>
              <w:t xml:space="preserve">Faculty of Health and Medical Sciences, University of Adelaide, South Australia. </w:t>
            </w:r>
            <w:r w:rsidDel="00000000" w:rsidR="00000000" w:rsidRPr="00000000">
              <w:rPr>
                <w:rFonts w:ascii="Arial" w:cs="Arial" w:eastAsia="Arial" w:hAnsi="Arial"/>
                <w:i w:val="1"/>
                <w:sz w:val="22"/>
                <w:szCs w:val="22"/>
                <w:vertAlign w:val="superscript"/>
                <w:rtl w:val="0"/>
              </w:rPr>
              <w:t xml:space="preserve">8</w:t>
            </w:r>
            <w:r w:rsidDel="00000000" w:rsidR="00000000" w:rsidRPr="00000000">
              <w:rPr>
                <w:rFonts w:ascii="Arial" w:cs="Arial" w:eastAsia="Arial" w:hAnsi="Arial"/>
                <w:i w:val="1"/>
                <w:sz w:val="22"/>
                <w:szCs w:val="22"/>
                <w:rtl w:val="0"/>
              </w:rPr>
              <w:t xml:space="preserve">Mechanisms in Cell Biology and Disease Research Concentration, Clinical and Health Sciences, University of South Australia. </w:t>
            </w:r>
            <w:r w:rsidDel="00000000" w:rsidR="00000000" w:rsidRPr="00000000">
              <w:rPr>
                <w:rFonts w:ascii="Arial" w:cs="Arial" w:eastAsia="Arial" w:hAnsi="Arial"/>
                <w:i w:val="1"/>
                <w:sz w:val="22"/>
                <w:szCs w:val="22"/>
                <w:vertAlign w:val="superscript"/>
                <w:rtl w:val="0"/>
              </w:rPr>
              <w:t xml:space="preserve">9</w:t>
            </w:r>
            <w:r w:rsidDel="00000000" w:rsidR="00000000" w:rsidRPr="00000000">
              <w:rPr>
                <w:rFonts w:ascii="Arial" w:cs="Arial" w:eastAsia="Arial" w:hAnsi="Arial"/>
                <w:i w:val="1"/>
                <w:sz w:val="22"/>
                <w:szCs w:val="22"/>
                <w:rtl w:val="0"/>
              </w:rPr>
              <w:t xml:space="preserve">Quality Use of Medicines and Pharmacy Research Centre, Clinical and Health Sciences, University of South Australia.</w:t>
            </w:r>
          </w:p>
        </w:tc>
      </w:tr>
      <w:tr>
        <w:trPr>
          <w:cantSplit w:val="0"/>
          <w:trHeight w:val="8670" w:hRule="atLeast"/>
          <w:tblHeader w:val="0"/>
        </w:trPr>
        <w:tc>
          <w:tcPr>
            <w:shd w:fill="auto"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Introduction/Aim: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Mucopolysaccharidoses (MPS) are a subset of </w:t>
            </w:r>
            <w:r w:rsidDel="00000000" w:rsidR="00000000" w:rsidRPr="00000000">
              <w:rPr>
                <w:rFonts w:ascii="Arial" w:cs="Arial" w:eastAsia="Arial" w:hAnsi="Arial"/>
                <w:sz w:val="22"/>
                <w:szCs w:val="22"/>
                <w:rtl w:val="0"/>
              </w:rPr>
              <w:t xml:space="preserve">Lysosomal storage diseases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characterised by the storage of glycosaminoglycans</w:t>
            </w:r>
            <w:r w:rsidDel="00000000" w:rsidR="00000000" w:rsidRPr="00000000">
              <w:rPr>
                <w:rFonts w:ascii="Arial" w:cs="Arial" w:eastAsia="Arial" w:hAnsi="Arial"/>
                <w:sz w:val="22"/>
                <w:szCs w:val="22"/>
                <w:rtl w:val="0"/>
              </w:rPr>
              <w:t xml:space="preserve"> (GAG). Almost all MPS patients have respiratory dysfunction with varying symptoms and severity during disease progression. The accumulation of GAG in the trachea and bronchi results in both obstructive and restrictive airway disease including diffuse tracheomalacia, tracheal stenosis and tortuosity. However, middle and lower airway involvement is an understudied aspect of clinical manifestations in the MPS. Here we aimed to characterise airway disease in an MPS I (Hurler syndrome) mouse model.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Methods:</w:t>
            </w:r>
            <w:r w:rsidDel="00000000" w:rsidR="00000000" w:rsidRPr="00000000">
              <w:rPr>
                <w:rFonts w:ascii="Arial" w:cs="Arial" w:eastAsia="Arial" w:hAnsi="Arial"/>
                <w:sz w:val="22"/>
                <w:szCs w:val="22"/>
                <w:rtl w:val="0"/>
              </w:rPr>
              <w:t xml:space="preserve"> We used non-invasive X-ray Velocimetry (XV) functional lung imaging technology, combined with gold-standard flexiVent lung mechanics assessment, to comprehensively analyse respiratory function in the MPS I mouse model. This included, for the first time, providing information on regional lung function across the breathing cycle.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Results:</w:t>
            </w:r>
            <w:r w:rsidDel="00000000" w:rsidR="00000000" w:rsidRPr="00000000">
              <w:rPr>
                <w:rFonts w:ascii="Arial" w:cs="Arial" w:eastAsia="Arial" w:hAnsi="Arial"/>
                <w:sz w:val="22"/>
                <w:szCs w:val="22"/>
                <w:rtl w:val="0"/>
              </w:rPr>
              <w:t xml:space="preserve"> MPS I mice showed a reduction in the mean specific ventilation that was predominantly due to a reduction in ventilation in the inner region of the lung. In addition, an increase in lung heterogeneity suggested patchy ventilation across the lung. MPS I mice exhibited an increase in lung compliance and reduced tissue elastance as well as reduced airflow likely due to higher central airway resistance.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Conclusions:</w:t>
            </w:r>
            <w:r w:rsidDel="00000000" w:rsidR="00000000" w:rsidRPr="00000000">
              <w:rPr>
                <w:rFonts w:ascii="Arial" w:cs="Arial" w:eastAsia="Arial" w:hAnsi="Arial"/>
                <w:sz w:val="22"/>
                <w:szCs w:val="22"/>
                <w:rtl w:val="0"/>
              </w:rPr>
              <w:t xml:space="preserve"> Together these results are consistent with an obstructive disease phenotype that can be attributed to not only the upper airways, but specifically intrinsic pulmonary alterations involving the central airways and parenchymal component of the peripheral lung.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Grant Support: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work is supported by a National MPS Society Research Grant, and Medical Research Future Fund Grant RFRHPSI000013.</w:t>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0000000000002" w:top="1440.0000000000002" w:left="1797.1653543307089" w:right="1797.165354330708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53390" cy="453390"/>
              <wp:effectExtent b="0" l="0" r="0" t="0"/>
              <wp:wrapNone/>
              <wp:docPr descr="OFFICIAL " id="4" name=""/>
              <a:graphic>
                <a:graphicData uri="http://schemas.microsoft.com/office/word/2010/wordprocessingShape">
                  <wps:wsp>
                    <wps:cNvSpPr/>
                    <wps:cNvPr id="5" name="Shape 5"/>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a80000"/>
                              <w:sz w:val="24"/>
                              <w:vertAlign w:val="baseline"/>
                            </w:rPr>
                            <w:t xml:space="preserve">OFFICIAL </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53390" cy="453390"/>
              <wp:effectExtent b="0" l="0" r="0" t="0"/>
              <wp:wrapNone/>
              <wp:docPr descr="OFFICIAL " id="4" name="image4.png"/>
              <a:graphic>
                <a:graphicData uri="http://schemas.openxmlformats.org/drawingml/2006/picture">
                  <pic:pic>
                    <pic:nvPicPr>
                      <pic:cNvPr descr="OFFICIAL "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53390" cy="453390"/>
              <wp:effectExtent b="0" l="0" r="0" t="0"/>
              <wp:wrapNone/>
              <wp:docPr descr="OFFICIAL " id="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a80000"/>
                              <w:sz w:val="24"/>
                              <w:vertAlign w:val="baseline"/>
                            </w:rPr>
                            <w:t xml:space="preserve">OFFICIAL </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53390" cy="453390"/>
              <wp:effectExtent b="0" l="0" r="0" t="0"/>
              <wp:wrapNone/>
              <wp:docPr descr="OFFICIAL " id="3" name="image3.png"/>
              <a:graphic>
                <a:graphicData uri="http://schemas.openxmlformats.org/drawingml/2006/picture">
                  <pic:pic>
                    <pic:nvPicPr>
                      <pic:cNvPr descr="OFFICIAL "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OFFICIAL" id="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a80000"/>
                              <w:sz w:val="24"/>
                              <w:vertAlign w:val="baseline"/>
                            </w:rPr>
                            <w:t xml:space="preserve">OFFICIAL</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OFFICIAL" id="2" name="image2.png"/>
              <a:graphic>
                <a:graphicData uri="http://schemas.openxmlformats.org/drawingml/2006/picture">
                  <pic:pic>
                    <pic:nvPicPr>
                      <pic:cNvPr descr="OFFICIA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OFFICIAL" id="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a80000"/>
                              <w:sz w:val="24"/>
                              <w:vertAlign w:val="baseline"/>
                            </w:rPr>
                            <w:t xml:space="preserve">OFFICIAL</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OFFICIAL" id="1" name="image1.png"/>
              <a:graphic>
                <a:graphicData uri="http://schemas.openxmlformats.org/drawingml/2006/picture">
                  <pic:pic>
                    <pic:nvPicPr>
                      <pic:cNvPr descr="OFFICIAL"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MediaServiceImageTags</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ClassificationContentMarkingFooterShapeIds">
    <vt:lpwstr>4,5,6</vt:lpwstr>
  </property>
  <property fmtid="{D5CDD505-2E9C-101B-9397-08002B2CF9AE}" pid="8" name="ClassificationContentMarkingFooterFontProps">
    <vt:lpwstr>#a80000,12,arial</vt:lpwstr>
  </property>
  <property fmtid="{D5CDD505-2E9C-101B-9397-08002B2CF9AE}" pid="9" name="ClassificationContentMarkingFooterText">
    <vt:lpwstr>OFFICIAL</vt:lpwstr>
  </property>
</Properties>
</file>