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8"/>
      </w:tblGrid>
      <w:tr w:rsidR="001564A4" w:rsidRPr="0050053A" w14:paraId="5C38377B" w14:textId="77777777" w:rsidTr="0018080C">
        <w:trPr>
          <w:trHeight w:val="699"/>
          <w:jc w:val="center"/>
        </w:trPr>
        <w:tc>
          <w:tcPr>
            <w:tcW w:w="8818" w:type="dxa"/>
            <w:shd w:val="clear" w:color="auto" w:fill="auto"/>
          </w:tcPr>
          <w:p w14:paraId="5C44F357" w14:textId="305A748D" w:rsidR="001564A4" w:rsidRPr="0050053A" w:rsidRDefault="00635D89" w:rsidP="00635D89">
            <w:pPr>
              <w:tabs>
                <w:tab w:val="center" w:pos="421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bookmarkStart w:id="0" w:name="_GoBack"/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Paediatric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Lung Transplant in Australia: Program Evaluation from a Health Care Provider Perspective</w:t>
            </w:r>
            <w:bookmarkEnd w:id="0"/>
          </w:p>
        </w:tc>
      </w:tr>
      <w:tr w:rsidR="001564A4" w:rsidRPr="0050053A" w14:paraId="0E2E035C" w14:textId="77777777" w:rsidTr="008B3841">
        <w:trPr>
          <w:trHeight w:val="780"/>
          <w:jc w:val="center"/>
        </w:trPr>
        <w:tc>
          <w:tcPr>
            <w:tcW w:w="8818" w:type="dxa"/>
            <w:shd w:val="clear" w:color="auto" w:fill="auto"/>
          </w:tcPr>
          <w:p w14:paraId="73B55295" w14:textId="35D34054" w:rsidR="001564A4" w:rsidRPr="004526BC" w:rsidRDefault="007A457A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Allison Carroll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1" w:name="Text8"/>
            <w:r w:rsidRPr="0018080C">
              <w:rPr>
                <w:rFonts w:ascii="Arial" w:hAnsi="Arial"/>
                <w:sz w:val="22"/>
                <w:vertAlign w:val="superscript"/>
                <w:lang w:val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3,5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1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Miranda Paraskeva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Simone West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Sarah Dinakis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Glen Westall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Jo Harrison</w:t>
            </w:r>
            <w:r w:rsidRPr="004526B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8080C">
              <w:rPr>
                <w:rFonts w:ascii="Arial" w:hAnsi="Arial"/>
                <w:sz w:val="22"/>
                <w:vertAlign w:val="superscript"/>
                <w:lang w:val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Lucio Naccarella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8B3841">
        <w:trPr>
          <w:trHeight w:val="213"/>
          <w:jc w:val="center"/>
        </w:trPr>
        <w:tc>
          <w:tcPr>
            <w:tcW w:w="8818" w:type="dxa"/>
            <w:shd w:val="clear" w:color="auto" w:fill="auto"/>
          </w:tcPr>
          <w:p w14:paraId="771C6190" w14:textId="33AAF88F" w:rsidR="007A457A" w:rsidRPr="0050053A" w:rsidRDefault="007A457A" w:rsidP="007A45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&amp; Sleep Medic</w:t>
            </w:r>
            <w:r w:rsidR="007B6AF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ine, Royal Children’s Hospital</w:t>
            </w:r>
          </w:p>
          <w:p w14:paraId="16D7B9B1" w14:textId="77777777" w:rsidR="007A457A" w:rsidRPr="004526BC" w:rsidRDefault="007A457A" w:rsidP="007A45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Alfred Lung Transplant Program</w:t>
            </w:r>
          </w:p>
          <w:p w14:paraId="6CFB6FD3" w14:textId="77777777" w:rsidR="007A457A" w:rsidRDefault="007A457A" w:rsidP="007A45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Population and Global Health, University of Melbourne</w:t>
            </w:r>
          </w:p>
          <w:p w14:paraId="04FDD828" w14:textId="77777777" w:rsidR="007A457A" w:rsidRDefault="007A457A" w:rsidP="007A45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230C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Paediatrics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University of Melbourne</w:t>
            </w:r>
          </w:p>
          <w:p w14:paraId="45ED36BF" w14:textId="195A3C98" w:rsidR="001564A4" w:rsidRPr="0050053A" w:rsidRDefault="007A457A" w:rsidP="007A45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230C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Murdoch Children’s Research Institute</w:t>
            </w:r>
          </w:p>
        </w:tc>
      </w:tr>
      <w:tr w:rsidR="001564A4" w:rsidRPr="0050053A" w14:paraId="6DAF615A" w14:textId="77777777" w:rsidTr="0018080C">
        <w:trPr>
          <w:trHeight w:hRule="exact" w:val="10217"/>
          <w:jc w:val="center"/>
        </w:trPr>
        <w:tc>
          <w:tcPr>
            <w:tcW w:w="8818" w:type="dxa"/>
            <w:shd w:val="clear" w:color="auto" w:fill="auto"/>
          </w:tcPr>
          <w:p w14:paraId="739E7937" w14:textId="77777777" w:rsidR="001564A4" w:rsidRPr="008B3841" w:rsidRDefault="001564A4" w:rsidP="008B3841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8B3841">
              <w:rPr>
                <w:rStyle w:val="A4"/>
                <w:b/>
                <w:bCs/>
              </w:rPr>
              <w:t xml:space="preserve">Introduction/Aim: </w:t>
            </w:r>
          </w:p>
          <w:p w14:paraId="2251F6D5" w14:textId="06CDF15C" w:rsidR="001564A4" w:rsidRPr="008B3841" w:rsidRDefault="00AB0772" w:rsidP="008B3841">
            <w:pPr>
              <w:pStyle w:val="Default"/>
              <w:jc w:val="both"/>
              <w:rPr>
                <w:sz w:val="22"/>
                <w:szCs w:val="22"/>
              </w:rPr>
            </w:pPr>
            <w:r w:rsidRPr="008B3841">
              <w:rPr>
                <w:sz w:val="22"/>
                <w:szCs w:val="22"/>
              </w:rPr>
              <w:t>Paediatric lung transplant is</w:t>
            </w:r>
            <w:r w:rsidR="004526BC">
              <w:rPr>
                <w:sz w:val="22"/>
                <w:szCs w:val="22"/>
              </w:rPr>
              <w:t xml:space="preserve"> a</w:t>
            </w:r>
            <w:r w:rsidRPr="008B3841">
              <w:rPr>
                <w:sz w:val="22"/>
                <w:szCs w:val="22"/>
              </w:rPr>
              <w:t xml:space="preserve"> high</w:t>
            </w:r>
            <w:r w:rsidR="008B3841">
              <w:rPr>
                <w:sz w:val="22"/>
                <w:szCs w:val="22"/>
              </w:rPr>
              <w:t>ly</w:t>
            </w:r>
            <w:r w:rsidRPr="008B3841">
              <w:rPr>
                <w:sz w:val="22"/>
                <w:szCs w:val="22"/>
              </w:rPr>
              <w:t xml:space="preserve"> complex, low volum</w:t>
            </w:r>
            <w:r w:rsidR="00755149">
              <w:rPr>
                <w:sz w:val="22"/>
                <w:szCs w:val="22"/>
              </w:rPr>
              <w:t>e</w:t>
            </w:r>
            <w:r w:rsidRPr="008B3841">
              <w:rPr>
                <w:sz w:val="22"/>
                <w:szCs w:val="22"/>
              </w:rPr>
              <w:t xml:space="preserve"> intervention performed in children with end stage lung disease. In Australia, children requiring lung transplant are referred from tertiary </w:t>
            </w:r>
            <w:r w:rsidR="00AF56D2" w:rsidRPr="008B3841">
              <w:rPr>
                <w:sz w:val="22"/>
                <w:szCs w:val="22"/>
              </w:rPr>
              <w:t>children’s</w:t>
            </w:r>
            <w:r w:rsidRPr="008B3841">
              <w:rPr>
                <w:sz w:val="22"/>
                <w:szCs w:val="22"/>
              </w:rPr>
              <w:t xml:space="preserve"> hospitals to the Nationally Funded Centre</w:t>
            </w:r>
            <w:r w:rsidR="007A457A">
              <w:rPr>
                <w:sz w:val="22"/>
                <w:szCs w:val="22"/>
              </w:rPr>
              <w:t xml:space="preserve"> (NFC) for Paediatric Lung and Heart-Lung Transplant</w:t>
            </w:r>
            <w:r w:rsidRPr="008B3841">
              <w:rPr>
                <w:sz w:val="22"/>
                <w:szCs w:val="22"/>
              </w:rPr>
              <w:t xml:space="preserve"> (</w:t>
            </w:r>
            <w:r w:rsidR="007A457A">
              <w:rPr>
                <w:sz w:val="22"/>
                <w:szCs w:val="22"/>
              </w:rPr>
              <w:t>PLHLT</w:t>
            </w:r>
            <w:r w:rsidRPr="008B3841">
              <w:rPr>
                <w:sz w:val="22"/>
                <w:szCs w:val="22"/>
              </w:rPr>
              <w:t xml:space="preserve">) program, </w:t>
            </w:r>
            <w:r w:rsidR="008B3841">
              <w:rPr>
                <w:sz w:val="22"/>
                <w:szCs w:val="22"/>
              </w:rPr>
              <w:t xml:space="preserve">led </w:t>
            </w:r>
            <w:r w:rsidRPr="008B3841">
              <w:rPr>
                <w:sz w:val="22"/>
                <w:szCs w:val="22"/>
              </w:rPr>
              <w:t xml:space="preserve">by The Alfred Lung Transplant Program. </w:t>
            </w:r>
            <w:r w:rsidR="001F4D0A" w:rsidRPr="008B3841">
              <w:rPr>
                <w:sz w:val="22"/>
                <w:szCs w:val="22"/>
              </w:rPr>
              <w:t>Th</w:t>
            </w:r>
            <w:r w:rsidR="00755149">
              <w:rPr>
                <w:sz w:val="22"/>
                <w:szCs w:val="22"/>
              </w:rPr>
              <w:t xml:space="preserve">is study </w:t>
            </w:r>
            <w:r w:rsidR="001F4D0A" w:rsidRPr="008B3841">
              <w:rPr>
                <w:sz w:val="22"/>
                <w:szCs w:val="22"/>
              </w:rPr>
              <w:t>evaluate</w:t>
            </w:r>
            <w:r w:rsidR="007B6AF4">
              <w:rPr>
                <w:sz w:val="22"/>
                <w:szCs w:val="22"/>
              </w:rPr>
              <w:t xml:space="preserve">d </w:t>
            </w:r>
            <w:r w:rsidR="007A457A">
              <w:rPr>
                <w:sz w:val="22"/>
                <w:szCs w:val="22"/>
              </w:rPr>
              <w:t xml:space="preserve">PLHLT program </w:t>
            </w:r>
            <w:r w:rsidR="001F4D0A" w:rsidRPr="008B3841">
              <w:rPr>
                <w:sz w:val="22"/>
                <w:szCs w:val="22"/>
              </w:rPr>
              <w:t>delivery and</w:t>
            </w:r>
            <w:r w:rsidR="008B3841">
              <w:rPr>
                <w:sz w:val="22"/>
                <w:szCs w:val="22"/>
              </w:rPr>
              <w:t xml:space="preserve"> impact</w:t>
            </w:r>
            <w:r w:rsidR="00934B72">
              <w:rPr>
                <w:sz w:val="22"/>
                <w:szCs w:val="22"/>
              </w:rPr>
              <w:t>,</w:t>
            </w:r>
            <w:r w:rsidR="001F4D0A" w:rsidRPr="008B3841">
              <w:rPr>
                <w:sz w:val="22"/>
                <w:szCs w:val="22"/>
              </w:rPr>
              <w:t xml:space="preserve"> assessing health care provider</w:t>
            </w:r>
            <w:r w:rsidR="008B3841">
              <w:rPr>
                <w:sz w:val="22"/>
                <w:szCs w:val="22"/>
              </w:rPr>
              <w:t xml:space="preserve"> (HCP)</w:t>
            </w:r>
            <w:r w:rsidR="001F4D0A" w:rsidRPr="008B3841">
              <w:rPr>
                <w:sz w:val="22"/>
                <w:szCs w:val="22"/>
              </w:rPr>
              <w:t xml:space="preserve"> experiences using the RE-AIM framework. RE-AIM is a robust evaluation model assessing dimensions of </w:t>
            </w:r>
            <w:r w:rsidR="001F4D0A" w:rsidRPr="008B3841">
              <w:rPr>
                <w:i/>
                <w:iCs/>
                <w:sz w:val="22"/>
                <w:szCs w:val="22"/>
              </w:rPr>
              <w:t>Reach, Effectiveness, Adoption, Implementation and Maintenance</w:t>
            </w:r>
            <w:r w:rsidR="001F4D0A" w:rsidRPr="008B3841">
              <w:rPr>
                <w:sz w:val="22"/>
                <w:szCs w:val="22"/>
              </w:rPr>
              <w:t xml:space="preserve">. </w:t>
            </w:r>
            <w:r w:rsidRPr="008B3841">
              <w:rPr>
                <w:sz w:val="22"/>
                <w:szCs w:val="22"/>
              </w:rPr>
              <w:t xml:space="preserve"> </w:t>
            </w:r>
          </w:p>
          <w:p w14:paraId="3D770CF7" w14:textId="77777777" w:rsidR="001564A4" w:rsidRPr="008B3841" w:rsidRDefault="001564A4" w:rsidP="008B3841">
            <w:pPr>
              <w:pStyle w:val="Pa12"/>
              <w:jc w:val="both"/>
              <w:rPr>
                <w:rStyle w:val="A4"/>
                <w:bCs/>
              </w:rPr>
            </w:pPr>
          </w:p>
          <w:p w14:paraId="78C776BB" w14:textId="141B0CE7" w:rsidR="001F4D0A" w:rsidRPr="008B3841" w:rsidRDefault="001564A4" w:rsidP="008B3841">
            <w:pPr>
              <w:pStyle w:val="Pa12"/>
              <w:jc w:val="both"/>
              <w:rPr>
                <w:sz w:val="22"/>
                <w:szCs w:val="22"/>
              </w:rPr>
            </w:pPr>
            <w:r w:rsidRPr="008B3841">
              <w:rPr>
                <w:rStyle w:val="A4"/>
                <w:b/>
                <w:bCs/>
              </w:rPr>
              <w:t xml:space="preserve">Methods: </w:t>
            </w:r>
          </w:p>
          <w:p w14:paraId="70A39F78" w14:textId="25B0F9DD" w:rsidR="001564A4" w:rsidRPr="008B3841" w:rsidRDefault="001F4D0A" w:rsidP="008B3841">
            <w:pPr>
              <w:pStyle w:val="Pa12"/>
              <w:jc w:val="both"/>
              <w:rPr>
                <w:sz w:val="22"/>
                <w:szCs w:val="22"/>
              </w:rPr>
            </w:pPr>
            <w:r w:rsidRPr="008B3841">
              <w:rPr>
                <w:sz w:val="22"/>
                <w:szCs w:val="22"/>
              </w:rPr>
              <w:t xml:space="preserve">Participants were </w:t>
            </w:r>
            <w:r w:rsidR="007A457A">
              <w:rPr>
                <w:sz w:val="22"/>
                <w:szCs w:val="22"/>
              </w:rPr>
              <w:t xml:space="preserve">HCPs </w:t>
            </w:r>
            <w:r w:rsidRPr="008B3841">
              <w:rPr>
                <w:sz w:val="22"/>
                <w:szCs w:val="22"/>
              </w:rPr>
              <w:t xml:space="preserve">recruited from </w:t>
            </w:r>
            <w:r w:rsidR="008B3841">
              <w:rPr>
                <w:sz w:val="22"/>
                <w:szCs w:val="22"/>
              </w:rPr>
              <w:t>the</w:t>
            </w:r>
            <w:r w:rsidR="007A457A">
              <w:rPr>
                <w:sz w:val="22"/>
                <w:szCs w:val="22"/>
              </w:rPr>
              <w:t xml:space="preserve"> PLHLT program</w:t>
            </w:r>
            <w:r w:rsidR="00F01FD5" w:rsidRPr="008B3841">
              <w:rPr>
                <w:sz w:val="22"/>
                <w:szCs w:val="22"/>
              </w:rPr>
              <w:t>,</w:t>
            </w:r>
            <w:r w:rsidRPr="008B3841">
              <w:rPr>
                <w:sz w:val="22"/>
                <w:szCs w:val="22"/>
              </w:rPr>
              <w:t xml:space="preserve"> Royal Children’s Hospital (</w:t>
            </w:r>
            <w:r w:rsidR="00BC5264" w:rsidRPr="008B3841">
              <w:rPr>
                <w:sz w:val="22"/>
                <w:szCs w:val="22"/>
              </w:rPr>
              <w:t xml:space="preserve">RCH, </w:t>
            </w:r>
            <w:r w:rsidR="00AF56D2" w:rsidRPr="008B3841">
              <w:rPr>
                <w:sz w:val="22"/>
                <w:szCs w:val="22"/>
              </w:rPr>
              <w:t>supporting paediatric centre) and referring</w:t>
            </w:r>
            <w:r w:rsidR="00934B72">
              <w:rPr>
                <w:sz w:val="22"/>
                <w:szCs w:val="22"/>
              </w:rPr>
              <w:t xml:space="preserve"> interstate </w:t>
            </w:r>
            <w:r w:rsidR="00AF56D2" w:rsidRPr="008B3841">
              <w:rPr>
                <w:sz w:val="22"/>
                <w:szCs w:val="22"/>
              </w:rPr>
              <w:t>hospitals. Semi-structured interviews were completed using Microsoft Teams, based on evaluation questions derived from the RE-AIM framewo</w:t>
            </w:r>
            <w:r w:rsidR="00934B72">
              <w:rPr>
                <w:sz w:val="22"/>
                <w:szCs w:val="22"/>
              </w:rPr>
              <w:t>rk</w:t>
            </w:r>
            <w:r w:rsidR="00AF56D2" w:rsidRPr="008B3841">
              <w:rPr>
                <w:sz w:val="22"/>
                <w:szCs w:val="22"/>
              </w:rPr>
              <w:t>. Inductive content analysis was used to assess the data and address RE-AIM dimensions.</w:t>
            </w:r>
          </w:p>
          <w:p w14:paraId="5029BAE6" w14:textId="77777777" w:rsidR="001564A4" w:rsidRPr="008B3841" w:rsidRDefault="001564A4" w:rsidP="008B3841">
            <w:pPr>
              <w:pStyle w:val="Pa12"/>
              <w:jc w:val="both"/>
              <w:rPr>
                <w:rStyle w:val="A4"/>
                <w:bCs/>
              </w:rPr>
            </w:pPr>
          </w:p>
          <w:p w14:paraId="6BF3F094" w14:textId="77777777" w:rsidR="001564A4" w:rsidRPr="008B3841" w:rsidRDefault="001564A4" w:rsidP="008B3841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8B3841">
              <w:rPr>
                <w:rStyle w:val="A4"/>
                <w:b/>
                <w:bCs/>
              </w:rPr>
              <w:t xml:space="preserve">Results: </w:t>
            </w:r>
          </w:p>
          <w:p w14:paraId="7B5A2652" w14:textId="56C09055" w:rsidR="001F49C1" w:rsidRPr="008B3841" w:rsidRDefault="00AF56D2" w:rsidP="008B3841">
            <w:pPr>
              <w:pStyle w:val="Pa12"/>
              <w:jc w:val="both"/>
              <w:rPr>
                <w:sz w:val="22"/>
                <w:szCs w:val="22"/>
              </w:rPr>
            </w:pPr>
            <w:r w:rsidRPr="008B3841">
              <w:rPr>
                <w:sz w:val="22"/>
                <w:szCs w:val="22"/>
              </w:rPr>
              <w:t xml:space="preserve">Twenty-six interviews were completed through </w:t>
            </w:r>
            <w:r w:rsidR="00934B72">
              <w:rPr>
                <w:sz w:val="22"/>
                <w:szCs w:val="22"/>
              </w:rPr>
              <w:t>T</w:t>
            </w:r>
            <w:r w:rsidRPr="008B3841">
              <w:rPr>
                <w:sz w:val="22"/>
                <w:szCs w:val="22"/>
              </w:rPr>
              <w:t>he Alfred (n=10),</w:t>
            </w:r>
            <w:r w:rsidR="00E8537B" w:rsidRPr="008B3841">
              <w:rPr>
                <w:sz w:val="22"/>
                <w:szCs w:val="22"/>
              </w:rPr>
              <w:t xml:space="preserve"> </w:t>
            </w:r>
            <w:r w:rsidR="00663520" w:rsidRPr="008B3841">
              <w:rPr>
                <w:sz w:val="22"/>
                <w:szCs w:val="22"/>
              </w:rPr>
              <w:t>RCH (n=10) and interstate hospitals (n=6), across a range of professions (</w:t>
            </w:r>
            <w:r w:rsidR="00D320C6">
              <w:rPr>
                <w:sz w:val="22"/>
                <w:szCs w:val="22"/>
              </w:rPr>
              <w:t>medical/surgical</w:t>
            </w:r>
            <w:r w:rsidR="00934B72">
              <w:rPr>
                <w:sz w:val="22"/>
                <w:szCs w:val="22"/>
              </w:rPr>
              <w:t>,</w:t>
            </w:r>
            <w:r w:rsidR="00663520" w:rsidRPr="008B3841">
              <w:rPr>
                <w:sz w:val="22"/>
                <w:szCs w:val="22"/>
              </w:rPr>
              <w:t xml:space="preserve"> nursing, allied health) and specialities (respiratory, pulmonary hypertension, intensive care). </w:t>
            </w:r>
            <w:r w:rsidR="00934B72">
              <w:rPr>
                <w:sz w:val="22"/>
                <w:szCs w:val="22"/>
              </w:rPr>
              <w:t>T</w:t>
            </w:r>
            <w:r w:rsidR="00663520" w:rsidRPr="008B3841">
              <w:rPr>
                <w:sz w:val="22"/>
                <w:szCs w:val="22"/>
              </w:rPr>
              <w:t xml:space="preserve">hemes </w:t>
            </w:r>
            <w:r w:rsidR="00BD55FD" w:rsidRPr="008B3841">
              <w:rPr>
                <w:sz w:val="22"/>
                <w:szCs w:val="22"/>
              </w:rPr>
              <w:t xml:space="preserve">for </w:t>
            </w:r>
            <w:r w:rsidR="003C1576" w:rsidRPr="008B3841">
              <w:rPr>
                <w:i/>
                <w:iCs/>
                <w:sz w:val="22"/>
                <w:szCs w:val="22"/>
              </w:rPr>
              <w:t>Reach</w:t>
            </w:r>
            <w:r w:rsidR="00663520" w:rsidRPr="008B3841">
              <w:rPr>
                <w:sz w:val="22"/>
                <w:szCs w:val="22"/>
              </w:rPr>
              <w:t xml:space="preserve"> surround</w:t>
            </w:r>
            <w:r w:rsidR="003C1576" w:rsidRPr="008B3841">
              <w:rPr>
                <w:sz w:val="22"/>
                <w:szCs w:val="22"/>
              </w:rPr>
              <w:t>ed</w:t>
            </w:r>
            <w:r w:rsidR="00663520" w:rsidRPr="008B3841">
              <w:rPr>
                <w:sz w:val="22"/>
                <w:szCs w:val="22"/>
              </w:rPr>
              <w:t xml:space="preserve"> state-dependant access to pre and </w:t>
            </w:r>
            <w:r w:rsidR="00934B72" w:rsidRPr="008B3841">
              <w:rPr>
                <w:sz w:val="22"/>
                <w:szCs w:val="22"/>
              </w:rPr>
              <w:t>pos</w:t>
            </w:r>
            <w:r w:rsidR="00934B72">
              <w:rPr>
                <w:sz w:val="22"/>
                <w:szCs w:val="22"/>
              </w:rPr>
              <w:t>t</w:t>
            </w:r>
            <w:r w:rsidR="00934B72" w:rsidRPr="008B3841">
              <w:rPr>
                <w:sz w:val="22"/>
                <w:szCs w:val="22"/>
              </w:rPr>
              <w:t>-transplant</w:t>
            </w:r>
            <w:r w:rsidR="00663520" w:rsidRPr="008B3841">
              <w:rPr>
                <w:sz w:val="22"/>
                <w:szCs w:val="22"/>
              </w:rPr>
              <w:t xml:space="preserve"> services</w:t>
            </w:r>
            <w:r w:rsidR="00E8537B" w:rsidRPr="008B3841">
              <w:rPr>
                <w:sz w:val="22"/>
                <w:szCs w:val="22"/>
              </w:rPr>
              <w:t xml:space="preserve"> and </w:t>
            </w:r>
            <w:r w:rsidR="003C1576" w:rsidRPr="008B3841">
              <w:rPr>
                <w:sz w:val="22"/>
                <w:szCs w:val="22"/>
              </w:rPr>
              <w:t>potential inequity</w:t>
            </w:r>
            <w:r w:rsidR="00755149">
              <w:rPr>
                <w:sz w:val="22"/>
                <w:szCs w:val="22"/>
              </w:rPr>
              <w:t xml:space="preserve"> due</w:t>
            </w:r>
            <w:r w:rsidR="003C1576" w:rsidRPr="008B3841">
              <w:rPr>
                <w:sz w:val="22"/>
                <w:szCs w:val="22"/>
              </w:rPr>
              <w:t xml:space="preserve"> t</w:t>
            </w:r>
            <w:r w:rsidR="00755149">
              <w:rPr>
                <w:sz w:val="22"/>
                <w:szCs w:val="22"/>
              </w:rPr>
              <w:t>o</w:t>
            </w:r>
            <w:r w:rsidR="003C1576" w:rsidRPr="008B3841">
              <w:rPr>
                <w:sz w:val="22"/>
                <w:szCs w:val="22"/>
              </w:rPr>
              <w:t xml:space="preserve"> patient age,</w:t>
            </w:r>
            <w:r w:rsidR="00934B72">
              <w:rPr>
                <w:sz w:val="22"/>
                <w:szCs w:val="22"/>
              </w:rPr>
              <w:t xml:space="preserve"> </w:t>
            </w:r>
            <w:r w:rsidR="003C1576" w:rsidRPr="008B3841">
              <w:rPr>
                <w:sz w:val="22"/>
                <w:szCs w:val="22"/>
              </w:rPr>
              <w:t>location,</w:t>
            </w:r>
            <w:r w:rsidR="00755149">
              <w:rPr>
                <w:sz w:val="22"/>
                <w:szCs w:val="22"/>
              </w:rPr>
              <w:t xml:space="preserve"> </w:t>
            </w:r>
            <w:r w:rsidR="003C1576" w:rsidRPr="008B3841">
              <w:rPr>
                <w:sz w:val="22"/>
                <w:szCs w:val="22"/>
              </w:rPr>
              <w:t xml:space="preserve">lung disease and social circumstances. </w:t>
            </w:r>
            <w:r w:rsidR="003C1576" w:rsidRPr="008B3841">
              <w:rPr>
                <w:i/>
                <w:iCs/>
                <w:sz w:val="22"/>
                <w:szCs w:val="22"/>
              </w:rPr>
              <w:t xml:space="preserve">Effectiveness </w:t>
            </w:r>
            <w:r w:rsidR="003C1576" w:rsidRPr="008B3841">
              <w:rPr>
                <w:sz w:val="22"/>
                <w:szCs w:val="22"/>
              </w:rPr>
              <w:t xml:space="preserve">highlighted the </w:t>
            </w:r>
            <w:r w:rsidR="00E8537B" w:rsidRPr="008B3841">
              <w:rPr>
                <w:sz w:val="22"/>
                <w:szCs w:val="22"/>
              </w:rPr>
              <w:t>balanc</w:t>
            </w:r>
            <w:r w:rsidR="003C1576" w:rsidRPr="008B3841">
              <w:rPr>
                <w:sz w:val="22"/>
                <w:szCs w:val="22"/>
              </w:rPr>
              <w:t>e</w:t>
            </w:r>
            <w:r w:rsidR="00755149">
              <w:rPr>
                <w:sz w:val="22"/>
                <w:szCs w:val="22"/>
              </w:rPr>
              <w:t xml:space="preserve"> </w:t>
            </w:r>
            <w:r w:rsidR="00D320C6">
              <w:rPr>
                <w:sz w:val="22"/>
                <w:szCs w:val="22"/>
              </w:rPr>
              <w:t>of</w:t>
            </w:r>
            <w:r w:rsidR="003C1576" w:rsidRPr="008B3841">
              <w:rPr>
                <w:sz w:val="22"/>
                <w:szCs w:val="22"/>
              </w:rPr>
              <w:t xml:space="preserve"> </w:t>
            </w:r>
            <w:r w:rsidR="00E8537B" w:rsidRPr="008B3841">
              <w:rPr>
                <w:sz w:val="22"/>
                <w:szCs w:val="22"/>
              </w:rPr>
              <w:t>transplant expertise with paediatric services</w:t>
            </w:r>
            <w:r w:rsidR="00BD55FD" w:rsidRPr="008B3841">
              <w:rPr>
                <w:sz w:val="22"/>
                <w:szCs w:val="22"/>
              </w:rPr>
              <w:t xml:space="preserve"> and variability of support outside the </w:t>
            </w:r>
            <w:r w:rsidR="007A457A">
              <w:rPr>
                <w:sz w:val="22"/>
                <w:szCs w:val="22"/>
              </w:rPr>
              <w:t xml:space="preserve">NFC </w:t>
            </w:r>
            <w:r w:rsidR="00BD55FD" w:rsidRPr="008B3841">
              <w:rPr>
                <w:sz w:val="22"/>
                <w:szCs w:val="22"/>
              </w:rPr>
              <w:t>3-month program</w:t>
            </w:r>
            <w:r w:rsidR="00E8537B" w:rsidRPr="008B3841">
              <w:rPr>
                <w:sz w:val="22"/>
                <w:szCs w:val="22"/>
              </w:rPr>
              <w:t xml:space="preserve">. </w:t>
            </w:r>
            <w:r w:rsidR="00BD55FD" w:rsidRPr="008B3841">
              <w:rPr>
                <w:i/>
                <w:iCs/>
                <w:sz w:val="22"/>
                <w:szCs w:val="22"/>
              </w:rPr>
              <w:t>Adoption</w:t>
            </w:r>
            <w:r w:rsidR="00BD55FD" w:rsidRPr="008B3841">
              <w:rPr>
                <w:sz w:val="22"/>
                <w:szCs w:val="22"/>
              </w:rPr>
              <w:t xml:space="preserve"> noted</w:t>
            </w:r>
            <w:r w:rsidR="00755149">
              <w:rPr>
                <w:sz w:val="22"/>
                <w:szCs w:val="22"/>
              </w:rPr>
              <w:t xml:space="preserve"> </w:t>
            </w:r>
            <w:r w:rsidR="00934B72">
              <w:rPr>
                <w:sz w:val="22"/>
                <w:szCs w:val="22"/>
              </w:rPr>
              <w:t xml:space="preserve">variable </w:t>
            </w:r>
            <w:r w:rsidR="00BD55FD" w:rsidRPr="008B3841">
              <w:rPr>
                <w:sz w:val="22"/>
                <w:szCs w:val="22"/>
              </w:rPr>
              <w:t>interstate hospital engagement and expertise</w:t>
            </w:r>
            <w:r w:rsidR="007A457A">
              <w:rPr>
                <w:sz w:val="22"/>
                <w:szCs w:val="22"/>
              </w:rPr>
              <w:t xml:space="preserve">, with </w:t>
            </w:r>
            <w:r w:rsidR="00755149">
              <w:rPr>
                <w:sz w:val="22"/>
                <w:szCs w:val="22"/>
              </w:rPr>
              <w:t>‘</w:t>
            </w:r>
            <w:r w:rsidR="001F49C1" w:rsidRPr="008B3841">
              <w:rPr>
                <w:sz w:val="22"/>
                <w:szCs w:val="22"/>
              </w:rPr>
              <w:t>good will</w:t>
            </w:r>
            <w:r w:rsidR="00755149">
              <w:rPr>
                <w:sz w:val="22"/>
                <w:szCs w:val="22"/>
              </w:rPr>
              <w:t>’</w:t>
            </w:r>
            <w:r w:rsidR="001F49C1" w:rsidRPr="008B3841">
              <w:rPr>
                <w:sz w:val="22"/>
                <w:szCs w:val="22"/>
              </w:rPr>
              <w:t xml:space="preserve"> required to access appropriate services</w:t>
            </w:r>
            <w:r w:rsidR="00BD55FD" w:rsidRPr="008B3841">
              <w:rPr>
                <w:sz w:val="22"/>
                <w:szCs w:val="22"/>
              </w:rPr>
              <w:t xml:space="preserve">. </w:t>
            </w:r>
            <w:r w:rsidR="00BD55FD" w:rsidRPr="008B3841">
              <w:rPr>
                <w:i/>
                <w:iCs/>
                <w:sz w:val="22"/>
                <w:szCs w:val="22"/>
              </w:rPr>
              <w:t>Implementation</w:t>
            </w:r>
            <w:r w:rsidR="00934B72">
              <w:rPr>
                <w:sz w:val="22"/>
                <w:szCs w:val="22"/>
              </w:rPr>
              <w:t xml:space="preserve"> </w:t>
            </w:r>
            <w:r w:rsidR="007A457A">
              <w:rPr>
                <w:sz w:val="22"/>
                <w:szCs w:val="22"/>
              </w:rPr>
              <w:t>depicted</w:t>
            </w:r>
            <w:r w:rsidR="00BD55FD" w:rsidRPr="008B3841">
              <w:rPr>
                <w:sz w:val="22"/>
                <w:szCs w:val="22"/>
              </w:rPr>
              <w:t xml:space="preserve"> </w:t>
            </w:r>
            <w:r w:rsidR="007A457A">
              <w:rPr>
                <w:sz w:val="22"/>
                <w:szCs w:val="22"/>
              </w:rPr>
              <w:t xml:space="preserve">PLHLT program </w:t>
            </w:r>
            <w:r w:rsidR="00E8537B" w:rsidRPr="008B3841">
              <w:rPr>
                <w:sz w:val="22"/>
                <w:szCs w:val="22"/>
              </w:rPr>
              <w:t>expertise</w:t>
            </w:r>
            <w:r w:rsidR="00BD55FD" w:rsidRPr="008B3841">
              <w:rPr>
                <w:sz w:val="22"/>
                <w:szCs w:val="22"/>
              </w:rPr>
              <w:t xml:space="preserve"> and outcomes as</w:t>
            </w:r>
            <w:r w:rsidR="00E8537B" w:rsidRPr="008B3841">
              <w:rPr>
                <w:sz w:val="22"/>
                <w:szCs w:val="22"/>
              </w:rPr>
              <w:t xml:space="preserve"> well regarded, </w:t>
            </w:r>
            <w:r w:rsidR="007A457A">
              <w:rPr>
                <w:sz w:val="22"/>
                <w:szCs w:val="22"/>
              </w:rPr>
              <w:t>highlighted</w:t>
            </w:r>
            <w:r w:rsidR="00BD55FD" w:rsidRPr="008B3841">
              <w:rPr>
                <w:sz w:val="22"/>
                <w:szCs w:val="22"/>
              </w:rPr>
              <w:t xml:space="preserve"> complexity of coordinating </w:t>
            </w:r>
            <w:r w:rsidR="001F49C1" w:rsidRPr="008B3841">
              <w:rPr>
                <w:sz w:val="22"/>
                <w:szCs w:val="22"/>
              </w:rPr>
              <w:t>paediatric</w:t>
            </w:r>
            <w:r w:rsidR="00BD55FD" w:rsidRPr="008B3841">
              <w:rPr>
                <w:sz w:val="22"/>
                <w:szCs w:val="22"/>
              </w:rPr>
              <w:t xml:space="preserve"> care in an adult hospital and</w:t>
            </w:r>
            <w:r w:rsidR="00755149">
              <w:rPr>
                <w:sz w:val="22"/>
                <w:szCs w:val="22"/>
              </w:rPr>
              <w:t xml:space="preserve"> </w:t>
            </w:r>
            <w:r w:rsidR="00BD55FD" w:rsidRPr="008B3841">
              <w:rPr>
                <w:sz w:val="22"/>
                <w:szCs w:val="22"/>
              </w:rPr>
              <w:t>funding uncertainty</w:t>
            </w:r>
            <w:r w:rsidR="00E8537B" w:rsidRPr="008B3841">
              <w:rPr>
                <w:sz w:val="22"/>
                <w:szCs w:val="22"/>
              </w:rPr>
              <w:t>.</w:t>
            </w:r>
            <w:r w:rsidR="001F49C1" w:rsidRPr="008B3841">
              <w:rPr>
                <w:sz w:val="22"/>
                <w:szCs w:val="22"/>
              </w:rPr>
              <w:t xml:space="preserve"> </w:t>
            </w:r>
            <w:r w:rsidR="001F49C1" w:rsidRPr="008B3841">
              <w:rPr>
                <w:i/>
                <w:iCs/>
                <w:sz w:val="22"/>
                <w:szCs w:val="22"/>
              </w:rPr>
              <w:t>Maintenance</w:t>
            </w:r>
            <w:r w:rsidR="001F49C1" w:rsidRPr="008B3841">
              <w:rPr>
                <w:sz w:val="22"/>
                <w:szCs w:val="22"/>
              </w:rPr>
              <w:t xml:space="preserve"> centre</w:t>
            </w:r>
            <w:r w:rsidR="007B6AF4">
              <w:rPr>
                <w:sz w:val="22"/>
                <w:szCs w:val="22"/>
              </w:rPr>
              <w:t>d</w:t>
            </w:r>
            <w:r w:rsidR="00755149">
              <w:rPr>
                <w:sz w:val="22"/>
                <w:szCs w:val="22"/>
              </w:rPr>
              <w:t xml:space="preserve"> </w:t>
            </w:r>
            <w:proofErr w:type="gramStart"/>
            <w:r w:rsidR="001F49C1" w:rsidRPr="008B3841">
              <w:rPr>
                <w:sz w:val="22"/>
                <w:szCs w:val="22"/>
              </w:rPr>
              <w:t>around</w:t>
            </w:r>
            <w:proofErr w:type="gramEnd"/>
            <w:r w:rsidR="001F49C1" w:rsidRPr="008B3841">
              <w:rPr>
                <w:sz w:val="22"/>
                <w:szCs w:val="22"/>
              </w:rPr>
              <w:t xml:space="preserve"> improving paediatric resources, including sharing program data, processes and patient resources to engage interstate centres.</w:t>
            </w:r>
          </w:p>
          <w:p w14:paraId="1941A3D5" w14:textId="77777777" w:rsidR="001F49C1" w:rsidRPr="008B3841" w:rsidRDefault="001F49C1" w:rsidP="008B384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52F7BE1" w14:textId="77777777" w:rsidR="001564A4" w:rsidRPr="008B3841" w:rsidRDefault="001564A4" w:rsidP="008B3841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8B3841">
              <w:rPr>
                <w:rStyle w:val="A4"/>
                <w:b/>
                <w:bCs/>
              </w:rPr>
              <w:t xml:space="preserve">Conclusion: </w:t>
            </w:r>
          </w:p>
          <w:p w14:paraId="033167F9" w14:textId="5A016F29" w:rsidR="001564A4" w:rsidRPr="0050053A" w:rsidRDefault="001F49C1" w:rsidP="004526BC">
            <w:pPr>
              <w:pStyle w:val="Default"/>
              <w:jc w:val="both"/>
              <w:rPr>
                <w:rStyle w:val="A4"/>
                <w:bCs/>
              </w:rPr>
            </w:pPr>
            <w:r w:rsidRPr="008B3841">
              <w:rPr>
                <w:sz w:val="22"/>
                <w:szCs w:val="22"/>
              </w:rPr>
              <w:t xml:space="preserve">The </w:t>
            </w:r>
            <w:r w:rsidR="007B6AF4">
              <w:rPr>
                <w:sz w:val="22"/>
                <w:szCs w:val="22"/>
              </w:rPr>
              <w:t xml:space="preserve">NFC </w:t>
            </w:r>
            <w:r w:rsidR="007A457A">
              <w:rPr>
                <w:sz w:val="22"/>
                <w:szCs w:val="22"/>
              </w:rPr>
              <w:t xml:space="preserve">PLHLT program </w:t>
            </w:r>
            <w:r w:rsidRPr="008B3841">
              <w:rPr>
                <w:sz w:val="22"/>
                <w:szCs w:val="22"/>
              </w:rPr>
              <w:t xml:space="preserve">is </w:t>
            </w:r>
            <w:r w:rsidR="000851C5" w:rsidRPr="008B3841">
              <w:rPr>
                <w:sz w:val="22"/>
                <w:szCs w:val="22"/>
              </w:rPr>
              <w:t>well-regarded from a</w:t>
            </w:r>
            <w:r w:rsidR="00755149">
              <w:rPr>
                <w:sz w:val="22"/>
                <w:szCs w:val="22"/>
              </w:rPr>
              <w:t>n HCP</w:t>
            </w:r>
            <w:r w:rsidR="000851C5" w:rsidRPr="008B3841">
              <w:rPr>
                <w:sz w:val="22"/>
                <w:szCs w:val="22"/>
              </w:rPr>
              <w:t xml:space="preserve"> perspective, with opportunities to increase referrer engagement</w:t>
            </w:r>
            <w:r w:rsidR="0044393B" w:rsidRPr="008B3841">
              <w:rPr>
                <w:sz w:val="22"/>
                <w:szCs w:val="22"/>
              </w:rPr>
              <w:t xml:space="preserve"> and </w:t>
            </w:r>
            <w:r w:rsidR="000851C5" w:rsidRPr="008B3841">
              <w:rPr>
                <w:sz w:val="22"/>
                <w:szCs w:val="22"/>
              </w:rPr>
              <w:t xml:space="preserve">evaluate equitable </w:t>
            </w:r>
            <w:r w:rsidR="0044393B" w:rsidRPr="008B3841">
              <w:rPr>
                <w:sz w:val="22"/>
                <w:szCs w:val="22"/>
              </w:rPr>
              <w:t>program delivery.</w:t>
            </w:r>
            <w:r w:rsidR="008B3841" w:rsidRPr="008B3841">
              <w:rPr>
                <w:sz w:val="22"/>
                <w:szCs w:val="22"/>
              </w:rPr>
              <w:t xml:space="preserve"> Sustainability is a concern, considering funding uncertainty and considerable ‘good will’ required to support the complex program.</w:t>
            </w:r>
          </w:p>
          <w:p w14:paraId="196E7BAC" w14:textId="04126691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7777777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5F58D34F" w14:textId="66F424C3" w:rsidR="001564A4" w:rsidRPr="0050053A" w:rsidRDefault="00755149" w:rsidP="007D6194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755149">
              <w:rPr>
                <w:sz w:val="22"/>
                <w:szCs w:val="22"/>
              </w:rPr>
              <w:t>None</w:t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F01FD5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851C5"/>
    <w:rsid w:val="001564A4"/>
    <w:rsid w:val="0018080C"/>
    <w:rsid w:val="001F49C1"/>
    <w:rsid w:val="001F4D0A"/>
    <w:rsid w:val="0036135B"/>
    <w:rsid w:val="003A08B3"/>
    <w:rsid w:val="003C1576"/>
    <w:rsid w:val="0044393B"/>
    <w:rsid w:val="004526BC"/>
    <w:rsid w:val="0051574E"/>
    <w:rsid w:val="00635D89"/>
    <w:rsid w:val="00663520"/>
    <w:rsid w:val="00755149"/>
    <w:rsid w:val="007A457A"/>
    <w:rsid w:val="007B6AF4"/>
    <w:rsid w:val="007D6194"/>
    <w:rsid w:val="008803FA"/>
    <w:rsid w:val="008B3841"/>
    <w:rsid w:val="00934B72"/>
    <w:rsid w:val="00AB0772"/>
    <w:rsid w:val="00AF56D2"/>
    <w:rsid w:val="00B12E32"/>
    <w:rsid w:val="00BC5264"/>
    <w:rsid w:val="00BD55FD"/>
    <w:rsid w:val="00D320C6"/>
    <w:rsid w:val="00E0700F"/>
    <w:rsid w:val="00E8537B"/>
    <w:rsid w:val="00F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320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C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Allison Carroll</cp:lastModifiedBy>
  <cp:revision>3</cp:revision>
  <dcterms:created xsi:type="dcterms:W3CDTF">2023-10-19T00:15:00Z</dcterms:created>
  <dcterms:modified xsi:type="dcterms:W3CDTF">2023-10-19T05:52:00Z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