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AE49" w14:textId="77777777" w:rsidR="008427FA" w:rsidRPr="00C91EEF" w:rsidRDefault="008427FA" w:rsidP="008427FA">
      <w:pPr>
        <w:rPr>
          <w:rFonts w:ascii="Arial" w:hAnsi="Arial" w:cs="Arial"/>
        </w:rPr>
      </w:pPr>
    </w:p>
    <w:p w14:paraId="6A2E533C" w14:textId="77777777" w:rsidR="00C91EEF" w:rsidRPr="00C91EEF" w:rsidRDefault="00C91EEF" w:rsidP="00C91EEF">
      <w:pPr>
        <w:pStyle w:val="paragraph"/>
        <w:spacing w:before="0" w:beforeAutospacing="0" w:after="0" w:afterAutospacing="0"/>
        <w:textAlignment w:val="baseline"/>
        <w:rPr>
          <w:rFonts w:ascii="Arial" w:hAnsi="Arial" w:cs="Arial"/>
          <w:sz w:val="22"/>
          <w:szCs w:val="22"/>
        </w:rPr>
      </w:pPr>
      <w:r w:rsidRPr="00C91EEF">
        <w:rPr>
          <w:rStyle w:val="normaltextrun"/>
          <w:rFonts w:ascii="Arial" w:hAnsi="Arial" w:cs="Arial"/>
          <w:b/>
          <w:bCs/>
          <w:sz w:val="22"/>
          <w:szCs w:val="22"/>
          <w:lang w:val="en-NZ"/>
        </w:rPr>
        <w:t>The use of CGM in Aboriginal and Torres Strait Islander communities: the FlashGM Study</w:t>
      </w:r>
      <w:r w:rsidRPr="00C91EEF">
        <w:rPr>
          <w:rStyle w:val="eop"/>
          <w:rFonts w:ascii="Arial" w:hAnsi="Arial" w:cs="Arial"/>
          <w:sz w:val="22"/>
          <w:szCs w:val="22"/>
        </w:rPr>
        <w:t> </w:t>
      </w:r>
    </w:p>
    <w:p w14:paraId="0E3C1844" w14:textId="77777777" w:rsidR="00C91EEF" w:rsidRPr="00C91EEF" w:rsidRDefault="00C91EEF" w:rsidP="00C91EEF">
      <w:pPr>
        <w:pStyle w:val="paragraph"/>
        <w:spacing w:before="0" w:beforeAutospacing="0" w:after="0" w:afterAutospacing="0"/>
        <w:ind w:left="720"/>
        <w:textAlignment w:val="baseline"/>
        <w:rPr>
          <w:rFonts w:ascii="Arial" w:hAnsi="Arial" w:cs="Arial"/>
          <w:sz w:val="18"/>
          <w:szCs w:val="18"/>
        </w:rPr>
      </w:pPr>
      <w:r w:rsidRPr="00C91EEF">
        <w:rPr>
          <w:rStyle w:val="eop"/>
          <w:rFonts w:ascii="Arial" w:hAnsi="Arial" w:cs="Arial"/>
          <w:sz w:val="22"/>
          <w:szCs w:val="22"/>
        </w:rPr>
        <w:t> </w:t>
      </w:r>
    </w:p>
    <w:p w14:paraId="662AB8BF" w14:textId="391E46DD" w:rsidR="00C91EEF" w:rsidRPr="00C91EEF" w:rsidRDefault="00C91EEF" w:rsidP="00C91EEF">
      <w:pPr>
        <w:rPr>
          <w:rStyle w:val="normaltextrun"/>
          <w:rFonts w:ascii="Arial" w:eastAsia="Times New Roman" w:hAnsi="Arial" w:cs="Arial"/>
          <w:b/>
          <w:bCs/>
          <w:lang w:val="en-US" w:eastAsia="en-GB"/>
        </w:rPr>
      </w:pPr>
      <w:r w:rsidRPr="00C91EEF">
        <w:rPr>
          <w:rStyle w:val="normaltextrun"/>
          <w:rFonts w:ascii="Arial" w:eastAsia="Times New Roman" w:hAnsi="Arial" w:cs="Arial"/>
          <w:b/>
          <w:bCs/>
          <w:lang w:val="en-US" w:eastAsia="en-GB"/>
        </w:rPr>
        <w:t xml:space="preserve">Aims: </w:t>
      </w:r>
      <w:r w:rsidRPr="00C91EEF">
        <w:rPr>
          <w:rStyle w:val="normaltextrun"/>
          <w:rFonts w:ascii="Arial" w:eastAsia="Times New Roman" w:hAnsi="Arial" w:cs="Arial"/>
          <w:lang w:val="en-US" w:eastAsia="en-GB"/>
        </w:rPr>
        <w:t xml:space="preserve">Aboriginal and Torres Strait Islander people experience a disproportionate burden of type 2 diabetes. Continuous glucose monitoring (CGM) devices provide convenient glucose data but are not widely available or </w:t>
      </w:r>
      <w:proofErr w:type="spellStart"/>
      <w:r w:rsidRPr="00C91EEF">
        <w:rPr>
          <w:rStyle w:val="normaltextrun"/>
          <w:rFonts w:ascii="Arial" w:eastAsia="Times New Roman" w:hAnsi="Arial" w:cs="Arial"/>
          <w:lang w:val="en-US" w:eastAsia="en-GB"/>
        </w:rPr>
        <w:t>subsidised</w:t>
      </w:r>
      <w:proofErr w:type="spellEnd"/>
      <w:r w:rsidRPr="00C91EEF">
        <w:rPr>
          <w:rStyle w:val="normaltextrun"/>
          <w:rFonts w:ascii="Arial" w:eastAsia="Times New Roman" w:hAnsi="Arial" w:cs="Arial"/>
          <w:lang w:val="en-US" w:eastAsia="en-GB"/>
        </w:rPr>
        <w:t xml:space="preserve"> for this population. In partnership with Aboriginal and Torres Strait Islander communities, this multi-</w:t>
      </w:r>
      <w:proofErr w:type="spellStart"/>
      <w:r w:rsidRPr="00C91EEF">
        <w:rPr>
          <w:rStyle w:val="normaltextrun"/>
          <w:rFonts w:ascii="Arial" w:eastAsia="Times New Roman" w:hAnsi="Arial" w:cs="Arial"/>
          <w:lang w:val="en-US" w:eastAsia="en-GB"/>
        </w:rPr>
        <w:t>centre</w:t>
      </w:r>
      <w:proofErr w:type="spellEnd"/>
      <w:r w:rsidRPr="00C91EEF">
        <w:rPr>
          <w:rStyle w:val="normaltextrun"/>
          <w:rFonts w:ascii="Arial" w:eastAsia="Times New Roman" w:hAnsi="Arial" w:cs="Arial"/>
          <w:lang w:val="en-US" w:eastAsia="en-GB"/>
        </w:rPr>
        <w:t xml:space="preserve">, </w:t>
      </w:r>
      <w:proofErr w:type="spellStart"/>
      <w:r w:rsidRPr="00C91EEF">
        <w:rPr>
          <w:rStyle w:val="normaltextrun"/>
          <w:rFonts w:ascii="Arial" w:eastAsia="Times New Roman" w:hAnsi="Arial" w:cs="Arial"/>
          <w:lang w:val="en-US" w:eastAsia="en-GB"/>
        </w:rPr>
        <w:t>randomised</w:t>
      </w:r>
      <w:proofErr w:type="spellEnd"/>
      <w:r w:rsidRPr="00C91EEF">
        <w:rPr>
          <w:rStyle w:val="normaltextrun"/>
          <w:rFonts w:ascii="Arial" w:eastAsia="Times New Roman" w:hAnsi="Arial" w:cs="Arial"/>
          <w:lang w:val="en-US" w:eastAsia="en-GB"/>
        </w:rPr>
        <w:t xml:space="preserve"> controlled trial evaluates CGM versus self-monitoring of blood glucose (SMBG) over six months to determine effects on (i) </w:t>
      </w:r>
      <w:proofErr w:type="spellStart"/>
      <w:r w:rsidRPr="00C91EEF">
        <w:rPr>
          <w:rStyle w:val="normaltextrun"/>
          <w:rFonts w:ascii="Arial" w:eastAsia="Times New Roman" w:hAnsi="Arial" w:cs="Arial"/>
          <w:lang w:val="en-US" w:eastAsia="en-GB"/>
        </w:rPr>
        <w:t>haemoglobin</w:t>
      </w:r>
      <w:proofErr w:type="spellEnd"/>
      <w:r w:rsidRPr="00C91EEF">
        <w:rPr>
          <w:rStyle w:val="normaltextrun"/>
          <w:rFonts w:ascii="Arial" w:eastAsia="Times New Roman" w:hAnsi="Arial" w:cs="Arial"/>
          <w:lang w:val="en-US" w:eastAsia="en-GB"/>
        </w:rPr>
        <w:t xml:space="preserve"> A1c (HbA1c), (ii) attainment of glucose targets, (iii) </w:t>
      </w:r>
      <w:proofErr w:type="spellStart"/>
      <w:r w:rsidRPr="00C91EEF">
        <w:rPr>
          <w:rStyle w:val="normaltextrun"/>
          <w:rFonts w:ascii="Arial" w:eastAsia="Times New Roman" w:hAnsi="Arial" w:cs="Arial"/>
          <w:lang w:val="en-US" w:eastAsia="en-GB"/>
        </w:rPr>
        <w:t>hypoglycaemia</w:t>
      </w:r>
      <w:proofErr w:type="spellEnd"/>
      <w:r w:rsidRPr="00C91EEF">
        <w:rPr>
          <w:rStyle w:val="normaltextrun"/>
          <w:rFonts w:ascii="Arial" w:eastAsia="Times New Roman" w:hAnsi="Arial" w:cs="Arial"/>
          <w:lang w:val="en-US" w:eastAsia="en-GB"/>
        </w:rPr>
        <w:t xml:space="preserve"> frequency, and (iv) cost-effectiveness within Aboriginal and Torres Strait Islander health services.</w:t>
      </w:r>
    </w:p>
    <w:p w14:paraId="59915005" w14:textId="77777777" w:rsidR="00C91EEF" w:rsidRPr="00C91EEF" w:rsidRDefault="00C91EEF" w:rsidP="00C91EEF">
      <w:pPr>
        <w:rPr>
          <w:rStyle w:val="normaltextrun"/>
          <w:rFonts w:ascii="Arial" w:eastAsia="Times New Roman" w:hAnsi="Arial" w:cs="Arial"/>
          <w:b/>
          <w:bCs/>
          <w:lang w:val="en-US" w:eastAsia="en-GB"/>
        </w:rPr>
      </w:pPr>
    </w:p>
    <w:p w14:paraId="0FFE77AB" w14:textId="764A22A9" w:rsidR="00C91EEF" w:rsidRPr="00C91EEF" w:rsidRDefault="00C91EEF" w:rsidP="00C91EEF">
      <w:pPr>
        <w:rPr>
          <w:rStyle w:val="normaltextrun"/>
          <w:rFonts w:ascii="Arial" w:eastAsia="Times New Roman" w:hAnsi="Arial" w:cs="Arial"/>
          <w:b/>
          <w:bCs/>
          <w:lang w:val="en-US" w:eastAsia="en-GB"/>
        </w:rPr>
      </w:pPr>
      <w:r w:rsidRPr="00C91EEF">
        <w:rPr>
          <w:rStyle w:val="normaltextrun"/>
          <w:rFonts w:ascii="Arial" w:eastAsia="Times New Roman" w:hAnsi="Arial" w:cs="Arial"/>
          <w:b/>
          <w:bCs/>
          <w:lang w:val="en-US" w:eastAsia="en-GB"/>
        </w:rPr>
        <w:t xml:space="preserve">Methods: </w:t>
      </w:r>
      <w:r w:rsidRPr="00C91EEF">
        <w:rPr>
          <w:rStyle w:val="normaltextrun"/>
          <w:rFonts w:ascii="Arial" w:eastAsia="Times New Roman" w:hAnsi="Arial" w:cs="Arial"/>
          <w:lang w:val="en-US" w:eastAsia="en-GB"/>
        </w:rPr>
        <w:t xml:space="preserve">This non-masked, parallel-group, two-arm, individually randomised trial (ACTRN12621000753853) enrolled adults with type 2 diabetes on injectable therapy and baseline HbA1c &gt;=7.5% (n=350). Participants were randomised 1:1 to CGM or SMBG for six months across urban, rural, regional and remote clinical sites including Aboriginal Community Controlled Health Organisations, Aboriginal Medical Services, primary care and tertiary hospitals. The primary outcome is change in HbA1c at six months; secondary outcomes include CGM metrics, </w:t>
      </w:r>
      <w:proofErr w:type="spellStart"/>
      <w:r w:rsidRPr="00C91EEF">
        <w:rPr>
          <w:rStyle w:val="normaltextrun"/>
          <w:rFonts w:ascii="Arial" w:eastAsia="Times New Roman" w:hAnsi="Arial" w:cs="Arial"/>
          <w:lang w:val="en-US" w:eastAsia="en-GB"/>
        </w:rPr>
        <w:t>hypoglycaemia</w:t>
      </w:r>
      <w:proofErr w:type="spellEnd"/>
      <w:r w:rsidRPr="00C91EEF">
        <w:rPr>
          <w:rStyle w:val="normaltextrun"/>
          <w:rFonts w:ascii="Arial" w:eastAsia="Times New Roman" w:hAnsi="Arial" w:cs="Arial"/>
          <w:lang w:val="en-US" w:eastAsia="en-GB"/>
        </w:rPr>
        <w:t xml:space="preserve"> frequency, cost-utility and quality of life.</w:t>
      </w:r>
    </w:p>
    <w:p w14:paraId="15209207" w14:textId="77777777" w:rsidR="00C91EEF" w:rsidRPr="00C91EEF" w:rsidRDefault="00C91EEF" w:rsidP="00C91EEF">
      <w:pPr>
        <w:rPr>
          <w:rStyle w:val="normaltextrun"/>
          <w:rFonts w:ascii="Arial" w:eastAsia="Times New Roman" w:hAnsi="Arial" w:cs="Arial"/>
          <w:b/>
          <w:bCs/>
          <w:lang w:val="en-US" w:eastAsia="en-GB"/>
        </w:rPr>
      </w:pPr>
    </w:p>
    <w:p w14:paraId="30418D66" w14:textId="1D8EC7EC" w:rsidR="00C91EEF" w:rsidRPr="00C91EEF" w:rsidRDefault="00C91EEF" w:rsidP="00C91EEF">
      <w:pPr>
        <w:rPr>
          <w:rStyle w:val="normaltextrun"/>
          <w:rFonts w:ascii="Arial" w:eastAsia="Times New Roman" w:hAnsi="Arial" w:cs="Arial"/>
          <w:lang w:val="en-US" w:eastAsia="en-GB"/>
        </w:rPr>
      </w:pPr>
      <w:r w:rsidRPr="00C91EEF">
        <w:rPr>
          <w:rStyle w:val="normaltextrun"/>
          <w:rFonts w:ascii="Arial" w:eastAsia="Times New Roman" w:hAnsi="Arial" w:cs="Arial"/>
          <w:b/>
          <w:bCs/>
          <w:lang w:val="en-US" w:eastAsia="en-GB"/>
        </w:rPr>
        <w:t xml:space="preserve">Results: </w:t>
      </w:r>
      <w:r w:rsidRPr="00C91EEF">
        <w:rPr>
          <w:rStyle w:val="normaltextrun"/>
          <w:rFonts w:ascii="Arial" w:eastAsia="Times New Roman" w:hAnsi="Arial" w:cs="Arial"/>
          <w:lang w:val="en-US" w:eastAsia="en-GB"/>
        </w:rPr>
        <w:t>From June 2021–Feb 2026, 340 participants screened, 242 randomised and 204 completed across 25 sites.</w:t>
      </w:r>
    </w:p>
    <w:p w14:paraId="0998771D" w14:textId="77777777" w:rsidR="00C91EEF" w:rsidRPr="00C91EEF" w:rsidRDefault="00C91EEF" w:rsidP="00C91EEF">
      <w:pPr>
        <w:rPr>
          <w:rStyle w:val="normaltextrun"/>
          <w:rFonts w:ascii="Arial" w:eastAsia="Times New Roman" w:hAnsi="Arial" w:cs="Arial"/>
          <w:b/>
          <w:bCs/>
          <w:lang w:val="en-US" w:eastAsia="en-GB"/>
        </w:rPr>
      </w:pPr>
    </w:p>
    <w:p w14:paraId="69886DD6" w14:textId="5DDA5752" w:rsidR="008427FA" w:rsidRPr="00C91EEF" w:rsidRDefault="00C91EEF" w:rsidP="00C91EEF">
      <w:pPr>
        <w:rPr>
          <w:rFonts w:ascii="Arial" w:hAnsi="Arial" w:cs="Arial"/>
        </w:rPr>
      </w:pPr>
      <w:r w:rsidRPr="00C91EEF">
        <w:rPr>
          <w:rStyle w:val="normaltextrun"/>
          <w:rFonts w:ascii="Arial" w:eastAsia="Times New Roman" w:hAnsi="Arial" w:cs="Arial"/>
          <w:b/>
          <w:bCs/>
          <w:lang w:val="en-US" w:eastAsia="en-GB"/>
        </w:rPr>
        <w:t xml:space="preserve">Conclusions: </w:t>
      </w:r>
      <w:r w:rsidRPr="00C91EEF">
        <w:rPr>
          <w:rStyle w:val="normaltextrun"/>
          <w:rFonts w:ascii="Arial" w:eastAsia="Times New Roman" w:hAnsi="Arial" w:cs="Arial"/>
          <w:lang w:val="en-US" w:eastAsia="en-GB"/>
        </w:rPr>
        <w:t>This is the first to CGM device trial for Aboriginal and Torres Strait Islander adults with type 2 diabetes.</w:t>
      </w:r>
    </w:p>
    <w:p w14:paraId="31EAA4F4" w14:textId="77777777" w:rsidR="008427FA" w:rsidRPr="00C91EEF" w:rsidRDefault="008427FA" w:rsidP="008427FA">
      <w:pPr>
        <w:rPr>
          <w:rFonts w:ascii="Arial" w:hAnsi="Arial" w:cs="Arial"/>
        </w:rPr>
      </w:pPr>
    </w:p>
    <w:p w14:paraId="484FA34F" w14:textId="77777777" w:rsidR="00830A4D" w:rsidRPr="00C91EEF" w:rsidRDefault="00830A4D">
      <w:pPr>
        <w:rPr>
          <w:rFonts w:ascii="Arial" w:hAnsi="Arial" w:cs="Arial"/>
        </w:rPr>
      </w:pPr>
    </w:p>
    <w:sectPr w:rsidR="00830A4D" w:rsidRPr="00C91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900CB"/>
    <w:multiLevelType w:val="multilevel"/>
    <w:tmpl w:val="330A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505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4E09DD"/>
    <w:rsid w:val="007244F0"/>
    <w:rsid w:val="00830A4D"/>
    <w:rsid w:val="008427FA"/>
    <w:rsid w:val="008953CF"/>
    <w:rsid w:val="00992E03"/>
    <w:rsid w:val="009A582D"/>
    <w:rsid w:val="009D79DB"/>
    <w:rsid w:val="009E26F9"/>
    <w:rsid w:val="00A85759"/>
    <w:rsid w:val="00BC73E4"/>
    <w:rsid w:val="00C91EEF"/>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1EEF"/>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C91EEF"/>
  </w:style>
  <w:style w:type="character" w:customStyle="1" w:styleId="eop">
    <w:name w:val="eop"/>
    <w:basedOn w:val="DefaultParagraphFont"/>
    <w:rsid w:val="00C91EEF"/>
  </w:style>
  <w:style w:type="paragraph" w:styleId="NormalWeb">
    <w:name w:val="Normal (Web)"/>
    <w:basedOn w:val="Normal"/>
    <w:uiPriority w:val="99"/>
    <w:semiHidden/>
    <w:unhideWhenUsed/>
    <w:rsid w:val="00C91EEF"/>
    <w:pPr>
      <w:spacing w:before="100" w:beforeAutospacing="1" w:after="100" w:afterAutospacing="1"/>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5154">
      <w:bodyDiv w:val="1"/>
      <w:marLeft w:val="0"/>
      <w:marRight w:val="0"/>
      <w:marTop w:val="0"/>
      <w:marBottom w:val="0"/>
      <w:divBdr>
        <w:top w:val="none" w:sz="0" w:space="0" w:color="auto"/>
        <w:left w:val="none" w:sz="0" w:space="0" w:color="auto"/>
        <w:bottom w:val="none" w:sz="0" w:space="0" w:color="auto"/>
        <w:right w:val="none" w:sz="0" w:space="0" w:color="auto"/>
      </w:divBdr>
    </w:div>
    <w:div w:id="1856310563">
      <w:bodyDiv w:val="1"/>
      <w:marLeft w:val="0"/>
      <w:marRight w:val="0"/>
      <w:marTop w:val="0"/>
      <w:marBottom w:val="0"/>
      <w:divBdr>
        <w:top w:val="none" w:sz="0" w:space="0" w:color="auto"/>
        <w:left w:val="none" w:sz="0" w:space="0" w:color="auto"/>
        <w:bottom w:val="none" w:sz="0" w:space="0" w:color="auto"/>
        <w:right w:val="none" w:sz="0" w:space="0" w:color="auto"/>
      </w:divBdr>
      <w:divsChild>
        <w:div w:id="678505920">
          <w:marLeft w:val="0"/>
          <w:marRight w:val="0"/>
          <w:marTop w:val="0"/>
          <w:marBottom w:val="0"/>
          <w:divBdr>
            <w:top w:val="none" w:sz="0" w:space="0" w:color="auto"/>
            <w:left w:val="none" w:sz="0" w:space="0" w:color="auto"/>
            <w:bottom w:val="none" w:sz="0" w:space="0" w:color="auto"/>
            <w:right w:val="none" w:sz="0" w:space="0" w:color="auto"/>
          </w:divBdr>
        </w:div>
        <w:div w:id="994995513">
          <w:marLeft w:val="0"/>
          <w:marRight w:val="0"/>
          <w:marTop w:val="0"/>
          <w:marBottom w:val="0"/>
          <w:divBdr>
            <w:top w:val="none" w:sz="0" w:space="0" w:color="auto"/>
            <w:left w:val="none" w:sz="0" w:space="0" w:color="auto"/>
            <w:bottom w:val="none" w:sz="0" w:space="0" w:color="auto"/>
            <w:right w:val="none" w:sz="0" w:space="0" w:color="auto"/>
          </w:divBdr>
        </w:div>
        <w:div w:id="1257207698">
          <w:marLeft w:val="0"/>
          <w:marRight w:val="0"/>
          <w:marTop w:val="0"/>
          <w:marBottom w:val="0"/>
          <w:divBdr>
            <w:top w:val="none" w:sz="0" w:space="0" w:color="auto"/>
            <w:left w:val="none" w:sz="0" w:space="0" w:color="auto"/>
            <w:bottom w:val="none" w:sz="0" w:space="0" w:color="auto"/>
            <w:right w:val="none" w:sz="0" w:space="0" w:color="auto"/>
          </w:divBdr>
        </w:div>
        <w:div w:id="962733430">
          <w:marLeft w:val="0"/>
          <w:marRight w:val="0"/>
          <w:marTop w:val="0"/>
          <w:marBottom w:val="0"/>
          <w:divBdr>
            <w:top w:val="none" w:sz="0" w:space="0" w:color="auto"/>
            <w:left w:val="none" w:sz="0" w:space="0" w:color="auto"/>
            <w:bottom w:val="none" w:sz="0" w:space="0" w:color="auto"/>
            <w:right w:val="none" w:sz="0" w:space="0" w:color="auto"/>
          </w:divBdr>
        </w:div>
        <w:div w:id="1070541056">
          <w:marLeft w:val="0"/>
          <w:marRight w:val="0"/>
          <w:marTop w:val="0"/>
          <w:marBottom w:val="0"/>
          <w:divBdr>
            <w:top w:val="none" w:sz="0" w:space="0" w:color="auto"/>
            <w:left w:val="none" w:sz="0" w:space="0" w:color="auto"/>
            <w:bottom w:val="none" w:sz="0" w:space="0" w:color="auto"/>
            <w:right w:val="none" w:sz="0" w:space="0" w:color="auto"/>
          </w:divBdr>
        </w:div>
        <w:div w:id="60910782">
          <w:marLeft w:val="0"/>
          <w:marRight w:val="0"/>
          <w:marTop w:val="0"/>
          <w:marBottom w:val="0"/>
          <w:divBdr>
            <w:top w:val="none" w:sz="0" w:space="0" w:color="auto"/>
            <w:left w:val="none" w:sz="0" w:space="0" w:color="auto"/>
            <w:bottom w:val="none" w:sz="0" w:space="0" w:color="auto"/>
            <w:right w:val="none" w:sz="0" w:space="0" w:color="auto"/>
          </w:divBdr>
        </w:div>
        <w:div w:id="1534687001">
          <w:marLeft w:val="0"/>
          <w:marRight w:val="0"/>
          <w:marTop w:val="0"/>
          <w:marBottom w:val="0"/>
          <w:divBdr>
            <w:top w:val="none" w:sz="0" w:space="0" w:color="auto"/>
            <w:left w:val="none" w:sz="0" w:space="0" w:color="auto"/>
            <w:bottom w:val="none" w:sz="0" w:space="0" w:color="auto"/>
            <w:right w:val="none" w:sz="0" w:space="0" w:color="auto"/>
          </w:divBdr>
        </w:div>
        <w:div w:id="898594820">
          <w:marLeft w:val="0"/>
          <w:marRight w:val="0"/>
          <w:marTop w:val="0"/>
          <w:marBottom w:val="0"/>
          <w:divBdr>
            <w:top w:val="none" w:sz="0" w:space="0" w:color="auto"/>
            <w:left w:val="none" w:sz="0" w:space="0" w:color="auto"/>
            <w:bottom w:val="none" w:sz="0" w:space="0" w:color="auto"/>
            <w:right w:val="none" w:sz="0" w:space="0" w:color="auto"/>
          </w:divBdr>
        </w:div>
        <w:div w:id="1399980219">
          <w:marLeft w:val="0"/>
          <w:marRight w:val="0"/>
          <w:marTop w:val="0"/>
          <w:marBottom w:val="0"/>
          <w:divBdr>
            <w:top w:val="none" w:sz="0" w:space="0" w:color="auto"/>
            <w:left w:val="none" w:sz="0" w:space="0" w:color="auto"/>
            <w:bottom w:val="none" w:sz="0" w:space="0" w:color="auto"/>
            <w:right w:val="none" w:sz="0" w:space="0" w:color="auto"/>
          </w:divBdr>
        </w:div>
        <w:div w:id="95298256">
          <w:marLeft w:val="0"/>
          <w:marRight w:val="0"/>
          <w:marTop w:val="0"/>
          <w:marBottom w:val="0"/>
          <w:divBdr>
            <w:top w:val="none" w:sz="0" w:space="0" w:color="auto"/>
            <w:left w:val="none" w:sz="0" w:space="0" w:color="auto"/>
            <w:bottom w:val="none" w:sz="0" w:space="0" w:color="auto"/>
            <w:right w:val="none" w:sz="0" w:space="0" w:color="auto"/>
          </w:divBdr>
        </w:div>
        <w:div w:id="447821190">
          <w:marLeft w:val="0"/>
          <w:marRight w:val="0"/>
          <w:marTop w:val="0"/>
          <w:marBottom w:val="0"/>
          <w:divBdr>
            <w:top w:val="none" w:sz="0" w:space="0" w:color="auto"/>
            <w:left w:val="none" w:sz="0" w:space="0" w:color="auto"/>
            <w:bottom w:val="none" w:sz="0" w:space="0" w:color="auto"/>
            <w:right w:val="none" w:sz="0" w:space="0" w:color="auto"/>
          </w:divBdr>
        </w:div>
        <w:div w:id="1693141722">
          <w:marLeft w:val="0"/>
          <w:marRight w:val="0"/>
          <w:marTop w:val="0"/>
          <w:marBottom w:val="0"/>
          <w:divBdr>
            <w:top w:val="none" w:sz="0" w:space="0" w:color="auto"/>
            <w:left w:val="none" w:sz="0" w:space="0" w:color="auto"/>
            <w:bottom w:val="none" w:sz="0" w:space="0" w:color="auto"/>
            <w:right w:val="none" w:sz="0" w:space="0" w:color="auto"/>
          </w:divBdr>
        </w:div>
        <w:div w:id="1042705060">
          <w:marLeft w:val="0"/>
          <w:marRight w:val="0"/>
          <w:marTop w:val="0"/>
          <w:marBottom w:val="0"/>
          <w:divBdr>
            <w:top w:val="none" w:sz="0" w:space="0" w:color="auto"/>
            <w:left w:val="none" w:sz="0" w:space="0" w:color="auto"/>
            <w:bottom w:val="none" w:sz="0" w:space="0" w:color="auto"/>
            <w:right w:val="none" w:sz="0" w:space="0" w:color="auto"/>
          </w:divBdr>
        </w:div>
        <w:div w:id="1225724286">
          <w:marLeft w:val="0"/>
          <w:marRight w:val="0"/>
          <w:marTop w:val="0"/>
          <w:marBottom w:val="0"/>
          <w:divBdr>
            <w:top w:val="none" w:sz="0" w:space="0" w:color="auto"/>
            <w:left w:val="none" w:sz="0" w:space="0" w:color="auto"/>
            <w:bottom w:val="none" w:sz="0" w:space="0" w:color="auto"/>
            <w:right w:val="none" w:sz="0" w:space="0" w:color="auto"/>
          </w:divBdr>
        </w:div>
        <w:div w:id="372846715">
          <w:marLeft w:val="0"/>
          <w:marRight w:val="0"/>
          <w:marTop w:val="0"/>
          <w:marBottom w:val="0"/>
          <w:divBdr>
            <w:top w:val="none" w:sz="0" w:space="0" w:color="auto"/>
            <w:left w:val="none" w:sz="0" w:space="0" w:color="auto"/>
            <w:bottom w:val="none" w:sz="0" w:space="0" w:color="auto"/>
            <w:right w:val="none" w:sz="0" w:space="0" w:color="auto"/>
          </w:divBdr>
        </w:div>
        <w:div w:id="110438999">
          <w:marLeft w:val="0"/>
          <w:marRight w:val="0"/>
          <w:marTop w:val="0"/>
          <w:marBottom w:val="0"/>
          <w:divBdr>
            <w:top w:val="none" w:sz="0" w:space="0" w:color="auto"/>
            <w:left w:val="none" w:sz="0" w:space="0" w:color="auto"/>
            <w:bottom w:val="none" w:sz="0" w:space="0" w:color="auto"/>
            <w:right w:val="none" w:sz="0" w:space="0" w:color="auto"/>
          </w:divBdr>
        </w:div>
        <w:div w:id="1865241049">
          <w:marLeft w:val="0"/>
          <w:marRight w:val="0"/>
          <w:marTop w:val="0"/>
          <w:marBottom w:val="0"/>
          <w:divBdr>
            <w:top w:val="none" w:sz="0" w:space="0" w:color="auto"/>
            <w:left w:val="none" w:sz="0" w:space="0" w:color="auto"/>
            <w:bottom w:val="none" w:sz="0" w:space="0" w:color="auto"/>
            <w:right w:val="none" w:sz="0" w:space="0" w:color="auto"/>
          </w:divBdr>
        </w:div>
        <w:div w:id="397747335">
          <w:marLeft w:val="0"/>
          <w:marRight w:val="0"/>
          <w:marTop w:val="0"/>
          <w:marBottom w:val="0"/>
          <w:divBdr>
            <w:top w:val="none" w:sz="0" w:space="0" w:color="auto"/>
            <w:left w:val="none" w:sz="0" w:space="0" w:color="auto"/>
            <w:bottom w:val="none" w:sz="0" w:space="0" w:color="auto"/>
            <w:right w:val="none" w:sz="0" w:space="0" w:color="auto"/>
          </w:divBdr>
        </w:div>
        <w:div w:id="159809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57F3532C-9676-4172-8864-A7446312D011}"/>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2</cp:revision>
  <dcterms:created xsi:type="dcterms:W3CDTF">2026-02-11T23:05:00Z</dcterms:created>
  <dcterms:modified xsi:type="dcterms:W3CDTF">2026-02-11T23:05:00Z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