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635A53E8" w:rsidR="002B7FC8" w:rsidRPr="003D1896" w:rsidRDefault="00874302" w:rsidP="005508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302">
              <w:rPr>
                <w:rFonts w:ascii="Arial" w:hAnsi="Arial" w:cs="Arial"/>
                <w:b/>
                <w:sz w:val="22"/>
                <w:szCs w:val="22"/>
              </w:rPr>
              <w:t>Impact on health literacy of</w:t>
            </w:r>
            <w:r w:rsidR="003D18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15D1">
              <w:rPr>
                <w:rFonts w:ascii="Arial" w:hAnsi="Arial" w:cs="Arial"/>
                <w:b/>
                <w:sz w:val="22"/>
                <w:szCs w:val="22"/>
              </w:rPr>
              <w:t>workplace</w:t>
            </w:r>
            <w:r w:rsidR="003D1896">
              <w:rPr>
                <w:rFonts w:ascii="Arial" w:hAnsi="Arial" w:cs="Arial"/>
                <w:b/>
                <w:sz w:val="22"/>
                <w:szCs w:val="22"/>
              </w:rPr>
              <w:t xml:space="preserve"> health promotion:</w:t>
            </w:r>
            <w:r w:rsidR="003D189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P</w:t>
            </w:r>
            <w:proofErr w:type="spellStart"/>
            <w:r w:rsidR="003D1896" w:rsidRPr="003D1896">
              <w:rPr>
                <w:rFonts w:ascii="Arial" w:hAnsi="Arial" w:cs="Arial"/>
                <w:b/>
                <w:sz w:val="22"/>
                <w:szCs w:val="22"/>
              </w:rPr>
              <w:t>reliminary</w:t>
            </w:r>
            <w:proofErr w:type="spellEnd"/>
            <w:r w:rsidR="003D1896" w:rsidRPr="003D1896">
              <w:rPr>
                <w:rFonts w:ascii="Arial" w:hAnsi="Arial" w:cs="Arial"/>
                <w:b/>
                <w:sz w:val="22"/>
                <w:szCs w:val="22"/>
              </w:rPr>
              <w:t xml:space="preserve"> evaluation of lifestyle</w:t>
            </w:r>
            <w:r w:rsidR="003D1896">
              <w:rPr>
                <w:rFonts w:ascii="Arial" w:hAnsi="Arial" w:cs="Arial"/>
                <w:b/>
                <w:sz w:val="22"/>
                <w:szCs w:val="22"/>
              </w:rPr>
              <w:t xml:space="preserve"> and </w:t>
            </w:r>
            <w:r w:rsidR="003D1896" w:rsidRPr="003D1896">
              <w:rPr>
                <w:rFonts w:ascii="Arial" w:hAnsi="Arial" w:cs="Arial"/>
                <w:b/>
                <w:sz w:val="22"/>
                <w:szCs w:val="22"/>
              </w:rPr>
              <w:t xml:space="preserve">health literacy by pre-post </w:t>
            </w:r>
            <w:r w:rsidR="001A019C" w:rsidRPr="00874302">
              <w:rPr>
                <w:rFonts w:ascii="Arial" w:hAnsi="Arial" w:cs="Arial"/>
                <w:b/>
                <w:sz w:val="22"/>
                <w:szCs w:val="22"/>
              </w:rPr>
              <w:t xml:space="preserve">comparison </w:t>
            </w:r>
            <w:r w:rsidR="003D1896" w:rsidRPr="003D1896">
              <w:rPr>
                <w:rFonts w:ascii="Arial" w:hAnsi="Arial" w:cs="Arial"/>
                <w:b/>
                <w:sz w:val="22"/>
                <w:szCs w:val="22"/>
              </w:rPr>
              <w:t>design</w:t>
            </w:r>
            <w:r w:rsidR="003D1896">
              <w:rPr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  <w:r w:rsidRPr="00874302">
              <w:rPr>
                <w:rFonts w:ascii="Arial" w:hAnsi="Arial" w:cs="Arial"/>
                <w:b/>
                <w:sz w:val="22"/>
                <w:szCs w:val="22"/>
              </w:rPr>
              <w:t>in</w:t>
            </w:r>
            <w:r w:rsidR="001A019C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r w:rsidRPr="00874302">
              <w:rPr>
                <w:rFonts w:ascii="Arial" w:hAnsi="Arial" w:cs="Arial"/>
                <w:b/>
                <w:sz w:val="22"/>
                <w:szCs w:val="22"/>
              </w:rPr>
              <w:t>Japanese architectural consulting company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12059652" w:rsidR="00DA7A71" w:rsidRPr="00917678" w:rsidRDefault="004B7D91" w:rsidP="005508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678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7B64945D" w14:textId="76FF40DA" w:rsidR="00874302" w:rsidRDefault="00874302" w:rsidP="00550835">
            <w:pPr>
              <w:rPr>
                <w:rFonts w:ascii="Arial" w:hAnsi="Arial" w:cs="Arial"/>
                <w:sz w:val="22"/>
                <w:szCs w:val="22"/>
              </w:rPr>
            </w:pPr>
            <w:r w:rsidRPr="00917678">
              <w:rPr>
                <w:rFonts w:ascii="Arial" w:hAnsi="Arial" w:cs="Arial"/>
                <w:sz w:val="22"/>
                <w:szCs w:val="22"/>
              </w:rPr>
              <w:t>Integration of Occupational Health and Safety</w:t>
            </w:r>
            <w:r w:rsidR="00A76044" w:rsidRPr="0091767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17678">
              <w:rPr>
                <w:rFonts w:ascii="Arial" w:hAnsi="Arial" w:cs="Arial"/>
                <w:sz w:val="22"/>
                <w:szCs w:val="22"/>
              </w:rPr>
              <w:t>(OHS) and Workplace Health Promotion</w:t>
            </w:r>
            <w:r w:rsidR="00A76044" w:rsidRPr="009176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7678">
              <w:rPr>
                <w:rFonts w:ascii="Arial" w:hAnsi="Arial" w:cs="Arial"/>
                <w:sz w:val="22"/>
                <w:szCs w:val="22"/>
              </w:rPr>
              <w:t xml:space="preserve">(WHP) aiming at employees' health and well-being attracts attention in WHO's "Healthy Workplace Framework" and NIOSH's "Total Worker Health". </w:t>
            </w:r>
            <w:r w:rsidR="003D1896" w:rsidRPr="00917678">
              <w:rPr>
                <w:rFonts w:ascii="Arial" w:hAnsi="Arial" w:cs="Arial"/>
                <w:sz w:val="22"/>
                <w:szCs w:val="22"/>
              </w:rPr>
              <w:t>WHP is actively conducted in many companies under the concept of health and productivity management, h</w:t>
            </w:r>
            <w:r w:rsidRPr="00917678">
              <w:rPr>
                <w:rFonts w:ascii="Arial" w:hAnsi="Arial" w:cs="Arial"/>
                <w:sz w:val="22"/>
                <w:szCs w:val="22"/>
              </w:rPr>
              <w:t xml:space="preserve">owever there are few studies on the effectiveness of WHP in Japan. We examined </w:t>
            </w:r>
            <w:r w:rsidR="001A019C" w:rsidRPr="00917678">
              <w:rPr>
                <w:rFonts w:ascii="Arial" w:hAnsi="Arial" w:cs="Arial"/>
                <w:sz w:val="22"/>
                <w:szCs w:val="22"/>
              </w:rPr>
              <w:t xml:space="preserve">the impact on its lifestyle and </w:t>
            </w:r>
            <w:r w:rsidRPr="00917678">
              <w:rPr>
                <w:rFonts w:ascii="Arial" w:hAnsi="Arial" w:cs="Arial"/>
                <w:sz w:val="22"/>
                <w:szCs w:val="22"/>
              </w:rPr>
              <w:t>health literacy</w:t>
            </w:r>
            <w:r w:rsidR="001A019C" w:rsidRPr="009176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7678">
              <w:rPr>
                <w:rFonts w:ascii="Arial" w:hAnsi="Arial" w:cs="Arial"/>
                <w:sz w:val="22"/>
                <w:szCs w:val="22"/>
              </w:rPr>
              <w:t xml:space="preserve">from the practical experience of WHP </w:t>
            </w:r>
            <w:r w:rsidR="001A019C" w:rsidRPr="00917678">
              <w:rPr>
                <w:rFonts w:ascii="Arial" w:hAnsi="Arial" w:cs="Arial"/>
                <w:sz w:val="22"/>
                <w:szCs w:val="22"/>
              </w:rPr>
              <w:t xml:space="preserve">in a </w:t>
            </w:r>
            <w:r w:rsidRPr="00917678">
              <w:rPr>
                <w:rFonts w:ascii="Arial" w:hAnsi="Arial" w:cs="Arial"/>
                <w:sz w:val="22"/>
                <w:szCs w:val="22"/>
              </w:rPr>
              <w:t>Japanese architectural consulting company.</w:t>
            </w:r>
          </w:p>
          <w:p w14:paraId="3967CF86" w14:textId="77777777" w:rsidR="00917678" w:rsidRPr="00917678" w:rsidRDefault="00917678" w:rsidP="00550835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5A4DE258" w14:textId="2283C478" w:rsidR="00DA7A71" w:rsidRPr="00917678" w:rsidRDefault="004B7D91" w:rsidP="005508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678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C" w14:textId="17E99DD4" w:rsidR="00DA7A71" w:rsidRDefault="00874302" w:rsidP="00550835">
            <w:pPr>
              <w:rPr>
                <w:rFonts w:ascii="Arial" w:hAnsi="Arial" w:cs="Arial"/>
                <w:sz w:val="22"/>
                <w:szCs w:val="22"/>
              </w:rPr>
            </w:pPr>
            <w:r w:rsidRPr="00917678">
              <w:rPr>
                <w:rFonts w:ascii="Arial" w:hAnsi="Arial" w:cs="Arial"/>
                <w:sz w:val="22"/>
                <w:szCs w:val="22"/>
              </w:rPr>
              <w:t>We reported OHS and WHP activities in an architectural consulting company</w:t>
            </w:r>
            <w:r w:rsidR="00550835" w:rsidRPr="00917678">
              <w:rPr>
                <w:rFonts w:ascii="Arial" w:hAnsi="Arial" w:cs="Arial"/>
                <w:sz w:val="22"/>
                <w:szCs w:val="22"/>
                <w:lang w:val="en-US"/>
              </w:rPr>
              <w:t xml:space="preserve"> which has 2700 employees </w:t>
            </w:r>
            <w:r w:rsidR="001A019C" w:rsidRPr="00917678">
              <w:rPr>
                <w:rFonts w:ascii="Arial" w:hAnsi="Arial" w:cs="Arial"/>
                <w:sz w:val="22"/>
                <w:szCs w:val="22"/>
              </w:rPr>
              <w:t>for 1</w:t>
            </w:r>
            <w:r w:rsidRPr="00917678">
              <w:rPr>
                <w:rFonts w:ascii="Arial" w:hAnsi="Arial" w:cs="Arial"/>
                <w:sz w:val="22"/>
                <w:szCs w:val="22"/>
              </w:rPr>
              <w:t xml:space="preserve">5 years, and its impact </w:t>
            </w:r>
            <w:r w:rsidR="00743B39" w:rsidRPr="00917678">
              <w:rPr>
                <w:rFonts w:ascii="Arial" w:hAnsi="Arial" w:cs="Arial"/>
                <w:sz w:val="22"/>
                <w:szCs w:val="22"/>
              </w:rPr>
              <w:t>by using</w:t>
            </w:r>
            <w:r w:rsidRPr="00917678">
              <w:rPr>
                <w:rFonts w:ascii="Arial" w:hAnsi="Arial" w:cs="Arial"/>
                <w:sz w:val="22"/>
                <w:szCs w:val="22"/>
              </w:rPr>
              <w:t xml:space="preserve"> pre-post comparison design to study its success factors.</w:t>
            </w:r>
            <w:r w:rsidR="001A019C" w:rsidRPr="00917678">
              <w:rPr>
                <w:rFonts w:ascii="Arial" w:hAnsi="Arial" w:cs="Arial"/>
                <w:sz w:val="22"/>
                <w:szCs w:val="22"/>
              </w:rPr>
              <w:t xml:space="preserve"> As a measure of health literacy, we used </w:t>
            </w:r>
            <w:r w:rsidR="00CF6440" w:rsidRPr="00917678">
              <w:rPr>
                <w:rFonts w:ascii="Arial" w:hAnsi="Arial" w:cs="Arial"/>
                <w:sz w:val="22"/>
                <w:szCs w:val="22"/>
              </w:rPr>
              <w:t>5-items</w:t>
            </w:r>
            <w:r w:rsidR="001A019C" w:rsidRPr="00917678">
              <w:rPr>
                <w:rFonts w:ascii="Arial" w:hAnsi="Arial" w:cs="Arial"/>
                <w:sz w:val="22"/>
                <w:szCs w:val="22"/>
              </w:rPr>
              <w:t xml:space="preserve"> communicative and critical health literacy scale for </w:t>
            </w:r>
            <w:r w:rsidR="00CF6440" w:rsidRPr="00917678">
              <w:rPr>
                <w:rFonts w:ascii="Arial" w:hAnsi="Arial" w:cs="Arial"/>
                <w:sz w:val="22"/>
                <w:szCs w:val="22"/>
              </w:rPr>
              <w:t>w</w:t>
            </w:r>
            <w:r w:rsidR="001A019C" w:rsidRPr="00917678">
              <w:rPr>
                <w:rFonts w:ascii="Arial" w:hAnsi="Arial" w:cs="Arial"/>
                <w:sz w:val="22"/>
                <w:szCs w:val="22"/>
              </w:rPr>
              <w:t>orkers (CCHL, Ishikawa et al., 2008).</w:t>
            </w:r>
          </w:p>
          <w:p w14:paraId="78588550" w14:textId="77777777" w:rsidR="00917678" w:rsidRPr="00917678" w:rsidRDefault="00917678" w:rsidP="00550835">
            <w:pPr>
              <w:rPr>
                <w:rFonts w:ascii="Arial" w:hAnsi="Arial" w:cs="Arial"/>
                <w:sz w:val="22"/>
                <w:szCs w:val="22"/>
                <w:lang w:val="en-US" w:eastAsia="ja-JP"/>
              </w:rPr>
            </w:pPr>
          </w:p>
          <w:p w14:paraId="5A4DE25D" w14:textId="6252EBE7" w:rsidR="00DA7A71" w:rsidRPr="00917678" w:rsidRDefault="004B7D91" w:rsidP="005508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678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89DEF63" w14:textId="655EDBFF" w:rsidR="004B7D91" w:rsidRDefault="00FF57FA" w:rsidP="00550835">
            <w:pPr>
              <w:rPr>
                <w:rFonts w:ascii="Arial" w:hAnsi="Arial" w:cs="Arial"/>
                <w:sz w:val="22"/>
                <w:szCs w:val="22"/>
              </w:rPr>
            </w:pPr>
            <w:r w:rsidRPr="00917678">
              <w:rPr>
                <w:rFonts w:ascii="Arial" w:hAnsi="Arial" w:cs="Arial"/>
                <w:sz w:val="22"/>
                <w:szCs w:val="22"/>
              </w:rPr>
              <w:t xml:space="preserve">Initially, a lot of effort was required for OHS activities such as setting up </w:t>
            </w:r>
            <w:r w:rsidR="001A3D9E" w:rsidRPr="00917678">
              <w:rPr>
                <w:rFonts w:ascii="Arial" w:hAnsi="Arial" w:cs="Arial"/>
                <w:sz w:val="22"/>
                <w:szCs w:val="22"/>
              </w:rPr>
              <w:t xml:space="preserve">the health and safety </w:t>
            </w:r>
            <w:r w:rsidRPr="00917678">
              <w:rPr>
                <w:rFonts w:ascii="Arial" w:hAnsi="Arial" w:cs="Arial"/>
                <w:sz w:val="22"/>
                <w:szCs w:val="22"/>
              </w:rPr>
              <w:t>committe</w:t>
            </w:r>
            <w:r w:rsidR="001A3D9E" w:rsidRPr="00917678">
              <w:rPr>
                <w:rFonts w:ascii="Arial" w:hAnsi="Arial" w:cs="Arial"/>
                <w:sz w:val="22"/>
                <w:szCs w:val="22"/>
              </w:rPr>
              <w:t>e</w:t>
            </w:r>
            <w:r w:rsidRPr="00917678">
              <w:rPr>
                <w:rFonts w:ascii="Arial" w:hAnsi="Arial" w:cs="Arial"/>
                <w:sz w:val="22"/>
                <w:szCs w:val="22"/>
              </w:rPr>
              <w:t xml:space="preserve"> and formulating guidelines. Occupational physician and nurses gradually succeeded in involving </w:t>
            </w:r>
            <w:proofErr w:type="spellStart"/>
            <w:r w:rsidRPr="00917678">
              <w:rPr>
                <w:rFonts w:ascii="Arial" w:hAnsi="Arial" w:cs="Arial"/>
                <w:sz w:val="22"/>
                <w:szCs w:val="22"/>
              </w:rPr>
              <w:t>labor</w:t>
            </w:r>
            <w:proofErr w:type="spellEnd"/>
            <w:r w:rsidRPr="00917678">
              <w:rPr>
                <w:rFonts w:ascii="Arial" w:hAnsi="Arial" w:cs="Arial"/>
                <w:sz w:val="22"/>
                <w:szCs w:val="22"/>
              </w:rPr>
              <w:t xml:space="preserve"> unions and management. Over the past five years, WHP activities aimed at health education, cancer prevention, health management for mental health and lifestyle-related diseases has been activated</w:t>
            </w:r>
            <w:r w:rsidR="00874302" w:rsidRPr="00917678">
              <w:rPr>
                <w:rFonts w:ascii="Arial" w:hAnsi="Arial" w:cs="Arial" w:hint="eastAsia"/>
                <w:sz w:val="22"/>
                <w:szCs w:val="22"/>
              </w:rPr>
              <w:t xml:space="preserve">. In the pre-post comparison of lifestyles using health survey, employees </w:t>
            </w:r>
            <w:r w:rsidR="00743B39" w:rsidRPr="00917678">
              <w:rPr>
                <w:rFonts w:ascii="Arial" w:hAnsi="Arial" w:cs="Arial"/>
                <w:sz w:val="22"/>
                <w:szCs w:val="22"/>
              </w:rPr>
              <w:t xml:space="preserve">who had </w:t>
            </w:r>
            <w:r w:rsidR="003A72C6" w:rsidRPr="00917678">
              <w:rPr>
                <w:rFonts w:ascii="Arial" w:hAnsi="Arial" w:cs="Arial"/>
                <w:sz w:val="22"/>
                <w:szCs w:val="22"/>
              </w:rPr>
              <w:t xml:space="preserve">healthy </w:t>
            </w:r>
            <w:proofErr w:type="gramStart"/>
            <w:r w:rsidR="003A72C6" w:rsidRPr="00917678">
              <w:rPr>
                <w:rFonts w:ascii="Arial" w:hAnsi="Arial" w:cs="Arial"/>
                <w:sz w:val="22"/>
                <w:szCs w:val="22"/>
              </w:rPr>
              <w:t>diet</w:t>
            </w:r>
            <w:r w:rsidR="00874302" w:rsidRPr="00917678">
              <w:rPr>
                <w:rFonts w:ascii="Arial" w:hAnsi="Arial" w:cs="Arial" w:hint="eastAsia"/>
                <w:sz w:val="22"/>
                <w:szCs w:val="22"/>
              </w:rPr>
              <w:t>(</w:t>
            </w:r>
            <w:proofErr w:type="gramEnd"/>
            <w:r w:rsidR="00874302" w:rsidRPr="00917678">
              <w:rPr>
                <w:rFonts w:ascii="Arial" w:hAnsi="Arial" w:cs="Arial" w:hint="eastAsia"/>
                <w:sz w:val="22"/>
                <w:szCs w:val="22"/>
              </w:rPr>
              <w:t>40</w:t>
            </w:r>
            <w:r w:rsidR="00874302" w:rsidRPr="00917678">
              <w:rPr>
                <w:rFonts w:ascii="Arial" w:hAnsi="Arial" w:cs="Arial" w:hint="eastAsia"/>
                <w:sz w:val="22"/>
                <w:szCs w:val="22"/>
              </w:rPr>
              <w:t>→</w:t>
            </w:r>
            <w:r w:rsidR="00874302" w:rsidRPr="00917678">
              <w:rPr>
                <w:rFonts w:ascii="Arial" w:hAnsi="Arial" w:cs="Arial" w:hint="eastAsia"/>
                <w:sz w:val="22"/>
                <w:szCs w:val="22"/>
              </w:rPr>
              <w:t xml:space="preserve">79%), </w:t>
            </w:r>
            <w:r w:rsidR="00240D5E" w:rsidRPr="00917678">
              <w:rPr>
                <w:rFonts w:ascii="Arial" w:hAnsi="Arial" w:cs="Arial"/>
                <w:sz w:val="22"/>
                <w:szCs w:val="22"/>
              </w:rPr>
              <w:t>physical activity</w:t>
            </w:r>
            <w:r w:rsidR="00874302" w:rsidRPr="00917678">
              <w:rPr>
                <w:rFonts w:ascii="Arial" w:hAnsi="Arial" w:cs="Arial" w:hint="eastAsia"/>
                <w:sz w:val="22"/>
                <w:szCs w:val="22"/>
              </w:rPr>
              <w:t>(31</w:t>
            </w:r>
            <w:r w:rsidR="00240D5E" w:rsidRPr="00917678">
              <w:rPr>
                <w:rFonts w:ascii="Arial" w:hAnsi="Arial" w:cs="Arial" w:hint="eastAsia"/>
                <w:sz w:val="22"/>
                <w:szCs w:val="22"/>
              </w:rPr>
              <w:t>→</w:t>
            </w:r>
            <w:r w:rsidR="00874302" w:rsidRPr="00917678">
              <w:rPr>
                <w:rFonts w:ascii="Arial" w:hAnsi="Arial" w:cs="Arial" w:hint="eastAsia"/>
                <w:sz w:val="22"/>
                <w:szCs w:val="22"/>
              </w:rPr>
              <w:t>36%) and sufficient sleep(12</w:t>
            </w:r>
            <w:r w:rsidR="00874302" w:rsidRPr="00917678">
              <w:rPr>
                <w:rFonts w:ascii="Arial" w:hAnsi="Arial" w:cs="Arial" w:hint="eastAsia"/>
                <w:sz w:val="22"/>
                <w:szCs w:val="22"/>
              </w:rPr>
              <w:t>→</w:t>
            </w:r>
            <w:r w:rsidR="00240D5E" w:rsidRPr="00917678">
              <w:rPr>
                <w:rFonts w:ascii="Arial" w:hAnsi="Arial" w:cs="Arial" w:hint="eastAsia"/>
                <w:sz w:val="22"/>
                <w:szCs w:val="22"/>
              </w:rPr>
              <w:t>18%)</w:t>
            </w:r>
            <w:r w:rsidR="00240D5E" w:rsidRPr="00917678">
              <w:rPr>
                <w:rFonts w:ascii="Arial" w:hAnsi="Arial" w:cs="Arial"/>
                <w:sz w:val="22"/>
                <w:szCs w:val="22"/>
              </w:rPr>
              <w:t xml:space="preserve"> were </w:t>
            </w:r>
            <w:r w:rsidR="00874302" w:rsidRPr="00917678">
              <w:rPr>
                <w:rFonts w:ascii="Arial" w:hAnsi="Arial" w:cs="Arial" w:hint="eastAsia"/>
                <w:sz w:val="22"/>
                <w:szCs w:val="22"/>
              </w:rPr>
              <w:t>increased</w:t>
            </w:r>
            <w:r w:rsidR="00240D5E" w:rsidRPr="00917678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240D5E" w:rsidRPr="00917678">
              <w:rPr>
                <w:rFonts w:ascii="Arial" w:hAnsi="Arial" w:cs="Arial" w:hint="eastAsia"/>
                <w:sz w:val="22"/>
                <w:szCs w:val="22"/>
              </w:rPr>
              <w:t>In the comparison between 2014 and 2018 in all elements of CCHL, information collection (55</w:t>
            </w:r>
            <w:r w:rsidR="00240D5E" w:rsidRPr="00917678">
              <w:rPr>
                <w:rFonts w:ascii="Arial" w:hAnsi="Arial" w:cs="Arial" w:hint="eastAsia"/>
                <w:sz w:val="22"/>
                <w:szCs w:val="22"/>
              </w:rPr>
              <w:t>→</w:t>
            </w:r>
            <w:r w:rsidR="00240D5E" w:rsidRPr="00917678">
              <w:rPr>
                <w:rFonts w:ascii="Arial" w:hAnsi="Arial" w:cs="Arial" w:hint="eastAsia"/>
                <w:sz w:val="22"/>
                <w:szCs w:val="22"/>
              </w:rPr>
              <w:t xml:space="preserve">68%), information </w:t>
            </w:r>
            <w:proofErr w:type="gramStart"/>
            <w:r w:rsidR="003A72C6" w:rsidRPr="00917678">
              <w:rPr>
                <w:rFonts w:ascii="Arial" w:hAnsi="Arial" w:cs="Arial" w:hint="eastAsia"/>
                <w:sz w:val="22"/>
                <w:szCs w:val="22"/>
              </w:rPr>
              <w:t>selection</w:t>
            </w:r>
            <w:r w:rsidR="00240D5E" w:rsidRPr="00917678">
              <w:rPr>
                <w:rFonts w:ascii="Arial" w:hAnsi="Arial" w:cs="Arial" w:hint="eastAsia"/>
                <w:sz w:val="22"/>
                <w:szCs w:val="22"/>
              </w:rPr>
              <w:t>(</w:t>
            </w:r>
            <w:proofErr w:type="gramEnd"/>
            <w:r w:rsidR="00240D5E" w:rsidRPr="00917678">
              <w:rPr>
                <w:rFonts w:ascii="Arial" w:hAnsi="Arial" w:cs="Arial" w:hint="eastAsia"/>
                <w:sz w:val="22"/>
                <w:szCs w:val="22"/>
              </w:rPr>
              <w:t>51</w:t>
            </w:r>
            <w:r w:rsidR="00240D5E" w:rsidRPr="00917678">
              <w:rPr>
                <w:rFonts w:ascii="Arial" w:hAnsi="Arial" w:cs="Arial" w:hint="eastAsia"/>
                <w:sz w:val="22"/>
                <w:szCs w:val="22"/>
              </w:rPr>
              <w:t>→</w:t>
            </w:r>
            <w:r w:rsidR="003A72C6" w:rsidRPr="00917678">
              <w:rPr>
                <w:rFonts w:ascii="Arial" w:hAnsi="Arial" w:cs="Arial" w:hint="eastAsia"/>
                <w:sz w:val="22"/>
                <w:szCs w:val="22"/>
              </w:rPr>
              <w:t>66%), information judgment</w:t>
            </w:r>
            <w:r w:rsidR="00240D5E" w:rsidRPr="00917678">
              <w:rPr>
                <w:rFonts w:ascii="Arial" w:hAnsi="Arial" w:cs="Arial" w:hint="eastAsia"/>
                <w:sz w:val="22"/>
                <w:szCs w:val="22"/>
              </w:rPr>
              <w:t>(40</w:t>
            </w:r>
            <w:r w:rsidR="00240D5E" w:rsidRPr="00917678">
              <w:rPr>
                <w:rFonts w:ascii="Arial" w:hAnsi="Arial" w:cs="Arial" w:hint="eastAsia"/>
                <w:sz w:val="22"/>
                <w:szCs w:val="22"/>
              </w:rPr>
              <w:t>→</w:t>
            </w:r>
            <w:r w:rsidR="00240D5E" w:rsidRPr="00917678">
              <w:rPr>
                <w:rFonts w:ascii="Arial" w:hAnsi="Arial" w:cs="Arial" w:hint="eastAsia"/>
                <w:sz w:val="22"/>
                <w:szCs w:val="22"/>
              </w:rPr>
              <w:t>54%), information sharing(38</w:t>
            </w:r>
            <w:r w:rsidR="00240D5E" w:rsidRPr="00917678">
              <w:rPr>
                <w:rFonts w:ascii="Arial" w:hAnsi="Arial" w:cs="Arial" w:hint="eastAsia"/>
                <w:sz w:val="22"/>
                <w:szCs w:val="22"/>
              </w:rPr>
              <w:t>→</w:t>
            </w:r>
            <w:r w:rsidR="00743B39" w:rsidRPr="00917678">
              <w:rPr>
                <w:rFonts w:ascii="Arial" w:hAnsi="Arial" w:cs="Arial" w:hint="eastAsia"/>
                <w:sz w:val="22"/>
                <w:szCs w:val="22"/>
              </w:rPr>
              <w:t>51%</w:t>
            </w:r>
            <w:r w:rsidR="00240D5E" w:rsidRPr="00917678">
              <w:rPr>
                <w:rFonts w:ascii="Arial" w:hAnsi="Arial" w:cs="Arial" w:hint="eastAsia"/>
                <w:sz w:val="22"/>
                <w:szCs w:val="22"/>
              </w:rPr>
              <w:t>), Decision making (36</w:t>
            </w:r>
            <w:r w:rsidR="00240D5E" w:rsidRPr="00917678">
              <w:rPr>
                <w:rFonts w:ascii="Arial" w:hAnsi="Arial" w:cs="Arial" w:hint="eastAsia"/>
                <w:sz w:val="22"/>
                <w:szCs w:val="22"/>
              </w:rPr>
              <w:t>→</w:t>
            </w:r>
            <w:r w:rsidR="00240D5E" w:rsidRPr="00917678">
              <w:rPr>
                <w:rFonts w:ascii="Arial" w:hAnsi="Arial" w:cs="Arial" w:hint="eastAsia"/>
                <w:sz w:val="22"/>
                <w:szCs w:val="22"/>
              </w:rPr>
              <w:t xml:space="preserve">51%), </w:t>
            </w:r>
            <w:r w:rsidR="00240D5E" w:rsidRPr="00917678"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 w:rsidR="00743B39" w:rsidRPr="00917678">
              <w:rPr>
                <w:rFonts w:ascii="Arial" w:hAnsi="Arial" w:cs="Arial"/>
                <w:sz w:val="22"/>
                <w:szCs w:val="22"/>
                <w:lang w:val="en-US"/>
              </w:rPr>
              <w:t xml:space="preserve"> significant </w:t>
            </w:r>
            <w:r w:rsidR="00240D5E" w:rsidRPr="00917678">
              <w:rPr>
                <w:rFonts w:ascii="Arial" w:hAnsi="Arial" w:cs="Arial" w:hint="eastAsia"/>
                <w:sz w:val="22"/>
                <w:szCs w:val="22"/>
              </w:rPr>
              <w:t>improvement of health litera</w:t>
            </w:r>
            <w:r w:rsidR="00240D5E" w:rsidRPr="00917678">
              <w:rPr>
                <w:rFonts w:ascii="Arial" w:hAnsi="Arial" w:cs="Arial"/>
                <w:sz w:val="22"/>
                <w:szCs w:val="22"/>
              </w:rPr>
              <w:t>cy was seen.</w:t>
            </w:r>
          </w:p>
          <w:p w14:paraId="032AB18A" w14:textId="77777777" w:rsidR="00917678" w:rsidRPr="00917678" w:rsidRDefault="00917678" w:rsidP="005508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D6967B" w14:textId="4AB72C40" w:rsidR="004B7D91" w:rsidRPr="00917678" w:rsidRDefault="004B7D91" w:rsidP="005508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678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4B8CD62" w14:textId="3574CC8D" w:rsidR="004B7D91" w:rsidRDefault="00874302" w:rsidP="00550835">
            <w:pPr>
              <w:rPr>
                <w:rFonts w:ascii="Arial" w:hAnsi="Arial" w:cs="Arial"/>
                <w:sz w:val="22"/>
                <w:szCs w:val="22"/>
              </w:rPr>
            </w:pPr>
            <w:r w:rsidRPr="00917678">
              <w:rPr>
                <w:rFonts w:ascii="Arial" w:hAnsi="Arial" w:cs="Arial"/>
                <w:sz w:val="22"/>
                <w:szCs w:val="22"/>
              </w:rPr>
              <w:t>A good impact on lifestyle and health literacy was obtained from 15 years of WHP. It was considered that success factors of WHP practice</w:t>
            </w:r>
            <w:r w:rsidR="00771CC6" w:rsidRPr="00917678">
              <w:rPr>
                <w:rFonts w:ascii="Arial" w:hAnsi="Arial" w:cs="Arial"/>
                <w:sz w:val="22"/>
                <w:szCs w:val="22"/>
              </w:rPr>
              <w:t xml:space="preserve"> are: </w:t>
            </w:r>
            <w:r w:rsidRPr="00917678">
              <w:rPr>
                <w:rFonts w:ascii="Arial" w:hAnsi="Arial" w:cs="Arial"/>
                <w:sz w:val="22"/>
                <w:szCs w:val="22"/>
              </w:rPr>
              <w:t>discovery of key person</w:t>
            </w:r>
            <w:r w:rsidR="00771CC6" w:rsidRPr="00917678">
              <w:rPr>
                <w:rFonts w:ascii="Arial" w:hAnsi="Arial" w:cs="Arial"/>
                <w:sz w:val="22"/>
                <w:szCs w:val="22"/>
              </w:rPr>
              <w:t xml:space="preserve">s highly interested in health, </w:t>
            </w:r>
            <w:r w:rsidRPr="00917678">
              <w:rPr>
                <w:rFonts w:ascii="Arial" w:hAnsi="Arial" w:cs="Arial"/>
                <w:sz w:val="22"/>
                <w:szCs w:val="22"/>
              </w:rPr>
              <w:t>e</w:t>
            </w:r>
            <w:r w:rsidR="00771CC6" w:rsidRPr="00917678">
              <w:rPr>
                <w:rFonts w:ascii="Arial" w:hAnsi="Arial" w:cs="Arial"/>
                <w:sz w:val="22"/>
                <w:szCs w:val="22"/>
              </w:rPr>
              <w:t xml:space="preserve">xistence of OHN, </w:t>
            </w:r>
            <w:r w:rsidRPr="00917678">
              <w:rPr>
                <w:rFonts w:ascii="Arial" w:hAnsi="Arial" w:cs="Arial"/>
                <w:sz w:val="22"/>
                <w:szCs w:val="22"/>
              </w:rPr>
              <w:t>corporate cultur</w:t>
            </w:r>
            <w:r w:rsidR="00771CC6" w:rsidRPr="00917678">
              <w:rPr>
                <w:rFonts w:ascii="Arial" w:hAnsi="Arial" w:cs="Arial"/>
                <w:sz w:val="22"/>
                <w:szCs w:val="22"/>
              </w:rPr>
              <w:t xml:space="preserve">e with good communication, and </w:t>
            </w:r>
            <w:r w:rsidRPr="00917678">
              <w:rPr>
                <w:rFonts w:ascii="Arial" w:hAnsi="Arial" w:cs="Arial"/>
                <w:sz w:val="22"/>
                <w:szCs w:val="22"/>
              </w:rPr>
              <w:t xml:space="preserve">clear management's commitment and health policy. </w:t>
            </w:r>
            <w:r w:rsidR="00CF6440" w:rsidRPr="00917678">
              <w:rPr>
                <w:rFonts w:ascii="Arial" w:hAnsi="Arial" w:cs="Arial"/>
                <w:sz w:val="22"/>
                <w:szCs w:val="22"/>
              </w:rPr>
              <w:t>The evaluation of WHP for improving the organization</w:t>
            </w:r>
            <w:r w:rsidR="000C1EC3" w:rsidRPr="00917678">
              <w:rPr>
                <w:rFonts w:ascii="Arial" w:hAnsi="Arial" w:cs="Arial"/>
                <w:sz w:val="22"/>
                <w:szCs w:val="22"/>
              </w:rPr>
              <w:t>al</w:t>
            </w:r>
            <w:r w:rsidR="00CF6440" w:rsidRPr="00917678">
              <w:rPr>
                <w:rFonts w:ascii="Arial" w:hAnsi="Arial" w:cs="Arial"/>
                <w:sz w:val="22"/>
                <w:szCs w:val="22"/>
              </w:rPr>
              <w:t xml:space="preserve"> health literacy is important, and further evidence and accumulation of good practice are necessary.</w:t>
            </w:r>
          </w:p>
          <w:p w14:paraId="5CD7FF02" w14:textId="77777777" w:rsidR="00917678" w:rsidRPr="00917678" w:rsidRDefault="00917678" w:rsidP="005508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DEB4A9" w14:textId="5B83C8DE" w:rsidR="004B7D91" w:rsidRPr="00917678" w:rsidRDefault="004B7D91" w:rsidP="005508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678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48D2B72B" w:rsidR="00277EE2" w:rsidRPr="00277EE2" w:rsidRDefault="00874302" w:rsidP="005508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678">
              <w:rPr>
                <w:rFonts w:ascii="Arial" w:hAnsi="Arial" w:cs="Arial"/>
                <w:sz w:val="22"/>
                <w:szCs w:val="22"/>
              </w:rPr>
              <w:t>Health literacy, Lifestyle, Workplace health promotion</w:t>
            </w:r>
          </w:p>
        </w:tc>
      </w:tr>
    </w:tbl>
    <w:p w14:paraId="5A4DE265" w14:textId="4C2C1C75" w:rsidR="00490208" w:rsidRDefault="00490208" w:rsidP="00550835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altName w:val="Sylfaen"/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2BC1"/>
    <w:rsid w:val="0003525D"/>
    <w:rsid w:val="00077988"/>
    <w:rsid w:val="0008349E"/>
    <w:rsid w:val="000C05CE"/>
    <w:rsid w:val="000C1EC3"/>
    <w:rsid w:val="00131D1E"/>
    <w:rsid w:val="001A019C"/>
    <w:rsid w:val="001A3D9E"/>
    <w:rsid w:val="001C3A37"/>
    <w:rsid w:val="00211765"/>
    <w:rsid w:val="00230B21"/>
    <w:rsid w:val="00234EAA"/>
    <w:rsid w:val="00240D5E"/>
    <w:rsid w:val="00242808"/>
    <w:rsid w:val="00277EE2"/>
    <w:rsid w:val="00294265"/>
    <w:rsid w:val="002975E6"/>
    <w:rsid w:val="002B7FC8"/>
    <w:rsid w:val="002F34DB"/>
    <w:rsid w:val="00317FFE"/>
    <w:rsid w:val="00363AF7"/>
    <w:rsid w:val="003A6236"/>
    <w:rsid w:val="003A72C6"/>
    <w:rsid w:val="003B15A7"/>
    <w:rsid w:val="003C1B08"/>
    <w:rsid w:val="003D1896"/>
    <w:rsid w:val="003F596D"/>
    <w:rsid w:val="00436DFE"/>
    <w:rsid w:val="00490208"/>
    <w:rsid w:val="004B5B95"/>
    <w:rsid w:val="004B7D91"/>
    <w:rsid w:val="004C45A1"/>
    <w:rsid w:val="004E345D"/>
    <w:rsid w:val="00550835"/>
    <w:rsid w:val="00564331"/>
    <w:rsid w:val="00590824"/>
    <w:rsid w:val="005F7DC7"/>
    <w:rsid w:val="006605DB"/>
    <w:rsid w:val="00663BFF"/>
    <w:rsid w:val="006C6E32"/>
    <w:rsid w:val="0070252B"/>
    <w:rsid w:val="00714C46"/>
    <w:rsid w:val="00743B39"/>
    <w:rsid w:val="00771CC6"/>
    <w:rsid w:val="007915D1"/>
    <w:rsid w:val="007A2A9C"/>
    <w:rsid w:val="007E61BA"/>
    <w:rsid w:val="007F17F6"/>
    <w:rsid w:val="0082392D"/>
    <w:rsid w:val="00874302"/>
    <w:rsid w:val="008874BF"/>
    <w:rsid w:val="008C05AC"/>
    <w:rsid w:val="008C05C1"/>
    <w:rsid w:val="00917678"/>
    <w:rsid w:val="00932377"/>
    <w:rsid w:val="009579B1"/>
    <w:rsid w:val="009B7881"/>
    <w:rsid w:val="00A112C8"/>
    <w:rsid w:val="00A1780F"/>
    <w:rsid w:val="00A24388"/>
    <w:rsid w:val="00A76044"/>
    <w:rsid w:val="00AA1598"/>
    <w:rsid w:val="00AA5B46"/>
    <w:rsid w:val="00AB42C9"/>
    <w:rsid w:val="00B12CD1"/>
    <w:rsid w:val="00B17814"/>
    <w:rsid w:val="00B20967"/>
    <w:rsid w:val="00B27EDD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CF6440"/>
    <w:rsid w:val="00D71EFE"/>
    <w:rsid w:val="00D94D43"/>
    <w:rsid w:val="00DA45EE"/>
    <w:rsid w:val="00DA7A71"/>
    <w:rsid w:val="00DC2C64"/>
    <w:rsid w:val="00DE6D44"/>
    <w:rsid w:val="00DF5082"/>
    <w:rsid w:val="00E0479B"/>
    <w:rsid w:val="00E36AD7"/>
    <w:rsid w:val="00E379B4"/>
    <w:rsid w:val="00E458B1"/>
    <w:rsid w:val="00F16B61"/>
    <w:rsid w:val="00F30EE9"/>
    <w:rsid w:val="00F407AD"/>
    <w:rsid w:val="00F86A0C"/>
    <w:rsid w:val="00FB626D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6911e96c-4cc4-42d5-8e43-f93924cf6a05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9c8a2b7b-0bee-4c48-b0a6-23db8982d3bc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F6A70-2279-4060-B97C-E427B1179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2018-09-16T10:07:00Z</dcterms:created>
  <dcterms:modified xsi:type="dcterms:W3CDTF">2018-09-16T10:07:00Z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