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8F68" w14:textId="41BD0DC6" w:rsidR="00930A23" w:rsidRPr="001465E0" w:rsidRDefault="00AE5EE2" w:rsidP="001465E0">
      <w:pPr>
        <w:spacing w:line="240" w:lineRule="auto"/>
        <w:rPr>
          <w:rFonts w:ascii="Arial" w:hAnsi="Arial" w:cs="Arial"/>
        </w:rPr>
      </w:pPr>
      <w:r w:rsidRPr="001465E0">
        <w:rPr>
          <w:rFonts w:ascii="Arial" w:hAnsi="Arial" w:cs="Arial"/>
          <w:b/>
          <w:bCs/>
        </w:rPr>
        <w:t xml:space="preserve">Bridging Oncology and Endocrinology – </w:t>
      </w:r>
      <w:r w:rsidR="00930A23" w:rsidRPr="001465E0">
        <w:rPr>
          <w:rFonts w:ascii="Arial" w:hAnsi="Arial" w:cs="Arial"/>
          <w:b/>
          <w:bCs/>
        </w:rPr>
        <w:t>Managing</w:t>
      </w:r>
      <w:r w:rsidRPr="001465E0">
        <w:rPr>
          <w:rFonts w:ascii="Arial" w:hAnsi="Arial" w:cs="Arial"/>
          <w:b/>
          <w:bCs/>
        </w:rPr>
        <w:t xml:space="preserve"> </w:t>
      </w:r>
      <w:r w:rsidR="00930A23" w:rsidRPr="001465E0">
        <w:rPr>
          <w:rFonts w:ascii="Arial" w:hAnsi="Arial" w:cs="Arial"/>
          <w:b/>
          <w:bCs/>
        </w:rPr>
        <w:t>Metabolic Toxicity in Targeted Cancer Therapy</w:t>
      </w:r>
      <w:r w:rsidR="004F2F58" w:rsidRPr="001465E0">
        <w:rPr>
          <w:rFonts w:ascii="Arial" w:hAnsi="Arial" w:cs="Arial"/>
          <w:b/>
          <w:bCs/>
        </w:rPr>
        <w:t>:</w:t>
      </w:r>
      <w:r w:rsidR="00930A23" w:rsidRPr="001465E0">
        <w:rPr>
          <w:rFonts w:ascii="Arial" w:hAnsi="Arial" w:cs="Arial"/>
          <w:b/>
          <w:bCs/>
        </w:rPr>
        <w:t xml:space="preserve"> A Case Series</w:t>
      </w:r>
    </w:p>
    <w:p w14:paraId="5A8E5407" w14:textId="77777777" w:rsidR="00351106" w:rsidRPr="001465E0" w:rsidRDefault="00351106" w:rsidP="001465E0">
      <w:pPr>
        <w:spacing w:line="240" w:lineRule="auto"/>
        <w:rPr>
          <w:rFonts w:ascii="Arial" w:hAnsi="Arial" w:cs="Arial"/>
          <w:b/>
          <w:bCs/>
        </w:rPr>
      </w:pPr>
    </w:p>
    <w:p w14:paraId="12247F27" w14:textId="3C566C87" w:rsidR="00AE5EE2" w:rsidRPr="001465E0" w:rsidRDefault="00AE5EE2" w:rsidP="001465E0">
      <w:pPr>
        <w:spacing w:line="240" w:lineRule="auto"/>
        <w:rPr>
          <w:rFonts w:ascii="Arial" w:hAnsi="Arial" w:cs="Arial"/>
          <w:b/>
          <w:bCs/>
        </w:rPr>
      </w:pPr>
      <w:r w:rsidRPr="001465E0">
        <w:rPr>
          <w:rFonts w:ascii="Arial" w:hAnsi="Arial" w:cs="Arial"/>
          <w:b/>
          <w:bCs/>
        </w:rPr>
        <w:t>Background</w:t>
      </w:r>
    </w:p>
    <w:p w14:paraId="5F9A6F26" w14:textId="0EB91747" w:rsidR="000076C3" w:rsidRPr="001465E0" w:rsidRDefault="000076C3" w:rsidP="001465E0">
      <w:pPr>
        <w:spacing w:line="240" w:lineRule="auto"/>
        <w:rPr>
          <w:rFonts w:ascii="Arial" w:hAnsi="Arial" w:cs="Arial"/>
          <w:b/>
          <w:bCs/>
        </w:rPr>
      </w:pPr>
      <w:r w:rsidRPr="001465E0">
        <w:rPr>
          <w:rFonts w:ascii="Arial" w:hAnsi="Arial" w:cs="Arial"/>
          <w:i/>
          <w:iCs/>
        </w:rPr>
        <w:t>PIK3CA</w:t>
      </w:r>
      <w:r w:rsidRPr="001465E0">
        <w:rPr>
          <w:rFonts w:ascii="Arial" w:hAnsi="Arial" w:cs="Arial"/>
        </w:rPr>
        <w:t xml:space="preserve"> mutations, found in ~40% of metastatic breast cancer cases, activate the phosphatidylinositol 3-kinase (PI3K) pathway involved in cell growth and survival. Inhibitors like alpelisib improve outcomes but are limited by on-target toxicity, notably </w:t>
      </w:r>
      <w:proofErr w:type="spellStart"/>
      <w:r w:rsidRPr="001465E0">
        <w:rPr>
          <w:rFonts w:ascii="Arial" w:hAnsi="Arial" w:cs="Arial"/>
        </w:rPr>
        <w:t>hyperinsulinaemic</w:t>
      </w:r>
      <w:proofErr w:type="spellEnd"/>
      <w:r w:rsidRPr="001465E0">
        <w:rPr>
          <w:rFonts w:ascii="Arial" w:hAnsi="Arial" w:cs="Arial"/>
        </w:rPr>
        <w:t xml:space="preserve"> hyperglycaemia. While metformin is first-line therapy, shared gastrointestinal side effects such as diarrhoea can limit its use. No standardised guidelines exist for managing hyperglycaemia when metformin is contraindicated or ineffective.</w:t>
      </w:r>
      <w:r w:rsidRPr="001465E0">
        <w:rPr>
          <w:rFonts w:ascii="Arial" w:hAnsi="Arial" w:cs="Arial"/>
          <w:b/>
          <w:bCs/>
        </w:rPr>
        <w:t xml:space="preserve"> </w:t>
      </w:r>
    </w:p>
    <w:p w14:paraId="1226375E" w14:textId="12F86DD6" w:rsidR="00AE5EE2" w:rsidRPr="001465E0" w:rsidRDefault="00AE5EE2" w:rsidP="001465E0">
      <w:pPr>
        <w:spacing w:line="240" w:lineRule="auto"/>
        <w:rPr>
          <w:rFonts w:ascii="Arial" w:hAnsi="Arial" w:cs="Arial"/>
          <w:b/>
          <w:bCs/>
        </w:rPr>
      </w:pPr>
      <w:r w:rsidRPr="001465E0">
        <w:rPr>
          <w:rFonts w:ascii="Arial" w:hAnsi="Arial" w:cs="Arial"/>
          <w:b/>
          <w:bCs/>
        </w:rPr>
        <w:t xml:space="preserve">Method </w:t>
      </w:r>
    </w:p>
    <w:p w14:paraId="711B0B02" w14:textId="77777777" w:rsidR="006A4F4F" w:rsidRPr="001465E0" w:rsidRDefault="006A4F4F" w:rsidP="001465E0">
      <w:pPr>
        <w:spacing w:line="240" w:lineRule="auto"/>
        <w:rPr>
          <w:rFonts w:ascii="Arial" w:hAnsi="Arial" w:cs="Arial"/>
        </w:rPr>
      </w:pPr>
      <w:r w:rsidRPr="001465E0">
        <w:rPr>
          <w:rFonts w:ascii="Arial" w:hAnsi="Arial" w:cs="Arial"/>
        </w:rPr>
        <w:t xml:space="preserve">We describe three patients with PIK3CA-mutated metastatic breast cancer who developed alpelisib-induced hyperglycaemia, despite near-normal baseline glycaemia. We explore their shared features, key differences in presentation, and the tailored approaches required to achieve </w:t>
      </w:r>
      <w:proofErr w:type="spellStart"/>
      <w:r w:rsidRPr="001465E0">
        <w:rPr>
          <w:rFonts w:ascii="Arial" w:hAnsi="Arial" w:cs="Arial"/>
        </w:rPr>
        <w:t>euglycaemia</w:t>
      </w:r>
      <w:proofErr w:type="spellEnd"/>
      <w:r w:rsidRPr="001465E0">
        <w:rPr>
          <w:rFonts w:ascii="Arial" w:hAnsi="Arial" w:cs="Arial"/>
        </w:rPr>
        <w:t>.</w:t>
      </w:r>
    </w:p>
    <w:p w14:paraId="24F18750" w14:textId="10BE56F7" w:rsidR="00AE5EE2" w:rsidRPr="001465E0" w:rsidRDefault="00AE5EE2" w:rsidP="001465E0">
      <w:pPr>
        <w:spacing w:line="240" w:lineRule="auto"/>
        <w:rPr>
          <w:rFonts w:ascii="Arial" w:hAnsi="Arial" w:cs="Arial"/>
          <w:b/>
          <w:bCs/>
        </w:rPr>
      </w:pPr>
      <w:r w:rsidRPr="001465E0">
        <w:rPr>
          <w:rFonts w:ascii="Arial" w:hAnsi="Arial" w:cs="Arial"/>
          <w:b/>
          <w:bCs/>
        </w:rPr>
        <w:t xml:space="preserve">Results </w:t>
      </w:r>
    </w:p>
    <w:p w14:paraId="7E4A4B21" w14:textId="309D2BE8" w:rsidR="006A4F4F" w:rsidRPr="001465E0" w:rsidRDefault="006A4F4F" w:rsidP="001465E0">
      <w:pPr>
        <w:spacing w:line="240" w:lineRule="auto"/>
        <w:rPr>
          <w:rFonts w:ascii="Arial" w:hAnsi="Arial" w:cs="Arial"/>
        </w:rPr>
      </w:pPr>
      <w:r w:rsidRPr="001465E0">
        <w:rPr>
          <w:rFonts w:ascii="Arial" w:hAnsi="Arial" w:cs="Arial"/>
        </w:rPr>
        <w:t xml:space="preserve">The onset of hyperglycaemia varied between patients, ranging from 4 weeks to 33 months after initiation of PIK3CA inhibitor therapy. One patient required multiple glucose-lowering agents, including empagliflozin, linagliptin, and gliclazide in addition to metformin. </w:t>
      </w:r>
      <w:r w:rsidR="000076C3" w:rsidRPr="001465E0">
        <w:rPr>
          <w:rFonts w:ascii="Arial" w:hAnsi="Arial" w:cs="Arial"/>
        </w:rPr>
        <w:t xml:space="preserve">On </w:t>
      </w:r>
      <w:r w:rsidRPr="001465E0">
        <w:rPr>
          <w:rFonts w:ascii="Arial" w:hAnsi="Arial" w:cs="Arial"/>
        </w:rPr>
        <w:t>commencement of an SGLT2 inhibitor, all patients achieved adequate glycaemic control and were able to maintain alpelisib dose intensity. Based on this clinical experience and a review of the literature, we propose a practical management algorithm for PI3K inhibitor–induced hyperglycaemia (Figure 1).</w:t>
      </w:r>
    </w:p>
    <w:p w14:paraId="1D3EA342" w14:textId="1B253AB7" w:rsidR="00AE5EE2" w:rsidRPr="001465E0" w:rsidRDefault="00AE5EE2" w:rsidP="001465E0">
      <w:pPr>
        <w:spacing w:line="240" w:lineRule="auto"/>
        <w:rPr>
          <w:rFonts w:ascii="Arial" w:hAnsi="Arial" w:cs="Arial"/>
          <w:b/>
          <w:bCs/>
        </w:rPr>
      </w:pPr>
      <w:r w:rsidRPr="001465E0">
        <w:rPr>
          <w:rFonts w:ascii="Arial" w:hAnsi="Arial" w:cs="Arial"/>
          <w:b/>
          <w:bCs/>
        </w:rPr>
        <w:t>Conclusion</w:t>
      </w:r>
    </w:p>
    <w:p w14:paraId="34B84C72" w14:textId="77777777" w:rsidR="006A4F4F" w:rsidRPr="001465E0" w:rsidRDefault="006A4F4F" w:rsidP="001465E0">
      <w:pPr>
        <w:spacing w:line="240" w:lineRule="auto"/>
        <w:rPr>
          <w:rFonts w:ascii="Arial" w:hAnsi="Arial" w:cs="Arial"/>
        </w:rPr>
      </w:pPr>
      <w:r w:rsidRPr="001465E0">
        <w:rPr>
          <w:rFonts w:ascii="Arial" w:hAnsi="Arial" w:cs="Arial"/>
        </w:rPr>
        <w:t xml:space="preserve">Effective management of alpelisib-induced hyperglycaemia requires endocrine strategies that avoid </w:t>
      </w:r>
      <w:proofErr w:type="spellStart"/>
      <w:r w:rsidRPr="001465E0">
        <w:rPr>
          <w:rFonts w:ascii="Arial" w:hAnsi="Arial" w:cs="Arial"/>
        </w:rPr>
        <w:t>hyperinsulinaemia</w:t>
      </w:r>
      <w:proofErr w:type="spellEnd"/>
      <w:r w:rsidRPr="001465E0">
        <w:rPr>
          <w:rFonts w:ascii="Arial" w:hAnsi="Arial" w:cs="Arial"/>
        </w:rPr>
        <w:t>, which may otherwise diminish the drug’s anti-oncogenic effect. While metformin remains the preferred first-line agent, SGLT2 inhibitors are promising adjunctive second-line options. Given the high disease burden in this population, pragmatic strategies are essential to optimise cancer outcomes and preserve quality of life.</w:t>
      </w:r>
    </w:p>
    <w:p w14:paraId="1CCC86BA" w14:textId="77777777" w:rsidR="006A4F4F" w:rsidRPr="001465E0" w:rsidRDefault="006A4F4F" w:rsidP="001465E0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14:paraId="13E1FDE1" w14:textId="77777777" w:rsidR="006A4F4F" w:rsidRDefault="006A4F4F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39B6D460" w14:textId="6D593F65" w:rsidR="00AE5EE2" w:rsidRPr="00AA6E4B" w:rsidRDefault="00AE5EE2" w:rsidP="00AE5EE2">
      <w:pPr>
        <w:rPr>
          <w:b/>
          <w:bCs/>
          <w:sz w:val="20"/>
          <w:szCs w:val="20"/>
        </w:rPr>
      </w:pPr>
      <w:r w:rsidRPr="00AA6E4B">
        <w:rPr>
          <w:b/>
          <w:bCs/>
          <w:sz w:val="20"/>
          <w:szCs w:val="20"/>
        </w:rPr>
        <w:lastRenderedPageBreak/>
        <w:t>Figure 1.</w:t>
      </w:r>
      <w:r>
        <w:rPr>
          <w:b/>
          <w:bCs/>
          <w:sz w:val="20"/>
          <w:szCs w:val="20"/>
        </w:rPr>
        <w:t xml:space="preserve"> Proposed baseline assessment and management of PI3K inhibitor induced hyperglycaemia </w:t>
      </w:r>
    </w:p>
    <w:p w14:paraId="758CC395" w14:textId="3CF2A514" w:rsidR="00AE5EE2" w:rsidRPr="00AA6E4B" w:rsidRDefault="006A4F4F" w:rsidP="00AE5EE2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3B3B6A0" wp14:editId="59F26FCD">
            <wp:extent cx="5731510" cy="2550160"/>
            <wp:effectExtent l="0" t="0" r="2540" b="2540"/>
            <wp:docPr id="1201148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48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18A8" w14:textId="77777777" w:rsidR="00AE5EE2" w:rsidRPr="00DE5996" w:rsidRDefault="00AE5EE2"/>
    <w:sectPr w:rsidR="00AE5EE2" w:rsidRPr="00DE5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3"/>
    <w:rsid w:val="000076C3"/>
    <w:rsid w:val="00070581"/>
    <w:rsid w:val="001049FE"/>
    <w:rsid w:val="001465E0"/>
    <w:rsid w:val="001D6876"/>
    <w:rsid w:val="00284441"/>
    <w:rsid w:val="002C18DC"/>
    <w:rsid w:val="00351106"/>
    <w:rsid w:val="003A45D9"/>
    <w:rsid w:val="003C66DC"/>
    <w:rsid w:val="004F2F58"/>
    <w:rsid w:val="0053621E"/>
    <w:rsid w:val="006A4F4F"/>
    <w:rsid w:val="006F5620"/>
    <w:rsid w:val="00760E70"/>
    <w:rsid w:val="008C5F0C"/>
    <w:rsid w:val="00930A23"/>
    <w:rsid w:val="00A72285"/>
    <w:rsid w:val="00AE5EE2"/>
    <w:rsid w:val="00C74EE5"/>
    <w:rsid w:val="00CB23F9"/>
    <w:rsid w:val="00CB379F"/>
    <w:rsid w:val="00DE5996"/>
    <w:rsid w:val="00E311AA"/>
    <w:rsid w:val="00E462C8"/>
    <w:rsid w:val="00F87CA8"/>
    <w:rsid w:val="00F9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E387"/>
  <w15:chartTrackingRefBased/>
  <w15:docId w15:val="{4D3EF901-B95C-482E-8076-22C33CC0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2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844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4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2E313-9095-4EAF-A759-915072CA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9BAAF-07D8-468A-919A-FFA3210D5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0973C-6C00-4201-AB81-4DA004F08AEA}">
  <ds:schemaRefs>
    <ds:schemaRef ds:uri="9c8a2b7b-0bee-4c48-b0a6-23db8982d3bc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cab52c9b-ab33-4221-8af9-54f8f2b86a80"/>
    <ds:schemaRef ds:uri="http://schemas.microsoft.com/office/infopath/2007/PartnerControls"/>
    <ds:schemaRef ds:uri="6911e96c-4cc4-42d5-8e43-f93924cf6a0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Chen</dc:creator>
  <cp:keywords/>
  <dc:description/>
  <cp:lastModifiedBy>Tanya Yandall</cp:lastModifiedBy>
  <cp:revision>3</cp:revision>
  <dcterms:created xsi:type="dcterms:W3CDTF">2025-05-22T06:00:00Z</dcterms:created>
  <dcterms:modified xsi:type="dcterms:W3CDTF">2025-05-22T06:01:00Z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