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B0E8" w14:textId="77777777" w:rsidR="00711C2E" w:rsidRPr="00733101" w:rsidRDefault="00711C2E" w:rsidP="00711C2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Abstract title: </w:t>
      </w:r>
      <w:r w:rsidRPr="00733101">
        <w:rPr>
          <w:rFonts w:ascii="Arial" w:hAnsi="Arial" w:cs="Arial"/>
          <w:b/>
          <w:bCs/>
        </w:rPr>
        <w:t xml:space="preserve">Preadmission GLP-1 </w:t>
      </w:r>
      <w:r>
        <w:rPr>
          <w:rFonts w:ascii="Arial" w:hAnsi="Arial" w:cs="Arial"/>
          <w:b/>
          <w:bCs/>
        </w:rPr>
        <w:t>R</w:t>
      </w:r>
      <w:r w:rsidRPr="00733101">
        <w:rPr>
          <w:rFonts w:ascii="Arial" w:hAnsi="Arial" w:cs="Arial"/>
          <w:b/>
          <w:bCs/>
        </w:rPr>
        <w:t xml:space="preserve">eceptor Agonist Use </w:t>
      </w:r>
      <w:r>
        <w:rPr>
          <w:rFonts w:ascii="Arial" w:hAnsi="Arial" w:cs="Arial"/>
          <w:b/>
          <w:bCs/>
        </w:rPr>
        <w:t xml:space="preserve">is Associated with Lower </w:t>
      </w:r>
      <w:r w:rsidRPr="00733101">
        <w:rPr>
          <w:rFonts w:ascii="Arial" w:hAnsi="Arial" w:cs="Arial"/>
          <w:b/>
          <w:bCs/>
        </w:rPr>
        <w:t xml:space="preserve"> 30-Day Mortality </w:t>
      </w:r>
      <w:r>
        <w:rPr>
          <w:rFonts w:ascii="Arial" w:hAnsi="Arial" w:cs="Arial"/>
          <w:b/>
          <w:bCs/>
        </w:rPr>
        <w:t>Among Inpatients with</w:t>
      </w:r>
      <w:r w:rsidRPr="00733101">
        <w:rPr>
          <w:rFonts w:ascii="Arial" w:hAnsi="Arial" w:cs="Arial"/>
          <w:b/>
          <w:bCs/>
        </w:rPr>
        <w:t xml:space="preserve"> Type 2 Diabetes</w:t>
      </w:r>
    </w:p>
    <w:p w14:paraId="68F58B1F" w14:textId="77777777" w:rsidR="00711C2E" w:rsidRPr="00733101" w:rsidRDefault="00711C2E" w:rsidP="00711C2E">
      <w:pPr>
        <w:jc w:val="both"/>
        <w:rPr>
          <w:rFonts w:ascii="Arial" w:hAnsi="Arial" w:cs="Arial"/>
        </w:rPr>
      </w:pPr>
    </w:p>
    <w:p w14:paraId="2EE7121C" w14:textId="77777777" w:rsidR="00711C2E" w:rsidRPr="00733101" w:rsidRDefault="00711C2E" w:rsidP="00711C2E">
      <w:pPr>
        <w:jc w:val="both"/>
        <w:rPr>
          <w:rFonts w:ascii="Arial" w:hAnsi="Arial" w:cs="Arial"/>
        </w:rPr>
      </w:pPr>
      <w:r w:rsidRPr="00733101">
        <w:rPr>
          <w:rFonts w:ascii="Arial" w:hAnsi="Arial" w:cs="Arial"/>
        </w:rPr>
        <w:t>Aim</w:t>
      </w:r>
      <w:r>
        <w:rPr>
          <w:rFonts w:ascii="Arial" w:hAnsi="Arial" w:cs="Arial"/>
        </w:rPr>
        <w:t xml:space="preserve">: </w:t>
      </w:r>
      <w:r w:rsidRPr="00733101">
        <w:rPr>
          <w:rFonts w:ascii="Arial" w:hAnsi="Arial" w:cs="Arial"/>
        </w:rPr>
        <w:t>To examine whether preadmission glucagon-like peptide-1 receptor agonist (GLP-1RA) use is associated with 30-day all-cause mortality following hospitalisation in people with type 2 diabetes.</w:t>
      </w:r>
    </w:p>
    <w:p w14:paraId="71AE7A96" w14:textId="77777777" w:rsidR="00711C2E" w:rsidRPr="00733101" w:rsidRDefault="00711C2E" w:rsidP="00711C2E">
      <w:pPr>
        <w:jc w:val="both"/>
        <w:rPr>
          <w:rFonts w:ascii="Arial" w:hAnsi="Arial" w:cs="Arial"/>
        </w:rPr>
      </w:pPr>
    </w:p>
    <w:p w14:paraId="4DA1B218" w14:textId="637F8496" w:rsidR="00711C2E" w:rsidRPr="00733101" w:rsidRDefault="00711C2E" w:rsidP="00711C2E">
      <w:pPr>
        <w:jc w:val="both"/>
        <w:rPr>
          <w:rFonts w:ascii="Arial" w:hAnsi="Arial" w:cs="Arial"/>
        </w:rPr>
      </w:pPr>
      <w:r w:rsidRPr="00733101">
        <w:rPr>
          <w:rFonts w:ascii="Arial" w:hAnsi="Arial" w:cs="Arial"/>
        </w:rPr>
        <w:t>Methods</w:t>
      </w:r>
      <w:r>
        <w:rPr>
          <w:rFonts w:ascii="Arial" w:hAnsi="Arial" w:cs="Arial"/>
        </w:rPr>
        <w:t xml:space="preserve">: </w:t>
      </w:r>
      <w:r w:rsidRPr="00733101">
        <w:rPr>
          <w:rFonts w:ascii="Arial" w:hAnsi="Arial" w:cs="Arial"/>
        </w:rPr>
        <w:t xml:space="preserve">We conducted a </w:t>
      </w:r>
      <w:r w:rsidR="00861494">
        <w:rPr>
          <w:rFonts w:ascii="Arial" w:hAnsi="Arial" w:cs="Arial"/>
        </w:rPr>
        <w:t xml:space="preserve">retrospective </w:t>
      </w:r>
      <w:r w:rsidRPr="00733101">
        <w:rPr>
          <w:rFonts w:ascii="Arial" w:hAnsi="Arial" w:cs="Arial"/>
        </w:rPr>
        <w:t>cohort study of adults with type 2 diabetes admitted to a tertiary health service</w:t>
      </w:r>
      <w:r>
        <w:rPr>
          <w:rFonts w:ascii="Arial" w:hAnsi="Arial" w:cs="Arial"/>
        </w:rPr>
        <w:t>, as part of the Diabetes Discovery initiative, comparing 30 day mortality outcomes in patients taking GLP-1RA preadmission to patients not taking GLP-1RA preadmission.</w:t>
      </w:r>
      <w:r w:rsidRPr="00733101">
        <w:rPr>
          <w:rFonts w:ascii="Arial" w:hAnsi="Arial" w:cs="Arial"/>
        </w:rPr>
        <w:t xml:space="preserve"> The primary outcome was all-cause mortality within 30 days of admission. Secondary outcomes included 30-day hospital readmission, intensive care unit (ICU) admission, length of stay, </w:t>
      </w:r>
      <w:r>
        <w:rPr>
          <w:rFonts w:ascii="Arial" w:hAnsi="Arial" w:cs="Arial"/>
        </w:rPr>
        <w:t>severe i</w:t>
      </w:r>
      <w:r w:rsidRPr="00733101">
        <w:rPr>
          <w:rFonts w:ascii="Arial" w:hAnsi="Arial" w:cs="Arial"/>
        </w:rPr>
        <w:t xml:space="preserve">npatient hyperglycaemia (blood glucose ≥20 mmol/L), hypoglycaemia, and hypotension. </w:t>
      </w:r>
      <w:r>
        <w:rPr>
          <w:rFonts w:ascii="Arial" w:hAnsi="Arial" w:cs="Arial"/>
        </w:rPr>
        <w:t>I</w:t>
      </w:r>
      <w:r w:rsidRPr="00733101">
        <w:rPr>
          <w:rFonts w:ascii="Arial" w:hAnsi="Arial" w:cs="Arial"/>
        </w:rPr>
        <w:t xml:space="preserve">nverse probability of treatment weighting based on the propensity score was used to adjust for differences in baseline characteristics including age, sex, </w:t>
      </w:r>
      <w:r>
        <w:rPr>
          <w:rFonts w:ascii="Arial" w:hAnsi="Arial" w:cs="Arial"/>
        </w:rPr>
        <w:t>Charlson Comorbidity Index</w:t>
      </w:r>
      <w:r w:rsidRPr="00733101">
        <w:rPr>
          <w:rFonts w:ascii="Arial" w:hAnsi="Arial" w:cs="Arial"/>
        </w:rPr>
        <w:t xml:space="preserve">, HbA1c, preadmission insulin use, </w:t>
      </w:r>
      <w:r>
        <w:rPr>
          <w:rFonts w:ascii="Arial" w:hAnsi="Arial" w:cs="Arial"/>
        </w:rPr>
        <w:t xml:space="preserve">admission diagnosis, </w:t>
      </w:r>
      <w:r w:rsidRPr="00733101">
        <w:rPr>
          <w:rFonts w:ascii="Arial" w:hAnsi="Arial" w:cs="Arial"/>
        </w:rPr>
        <w:t>and body weight.</w:t>
      </w:r>
    </w:p>
    <w:p w14:paraId="4F3A283F" w14:textId="77777777" w:rsidR="00711C2E" w:rsidRPr="00733101" w:rsidRDefault="00711C2E" w:rsidP="00711C2E">
      <w:pPr>
        <w:jc w:val="both"/>
        <w:rPr>
          <w:rFonts w:ascii="Arial" w:hAnsi="Arial" w:cs="Arial"/>
        </w:rPr>
      </w:pPr>
    </w:p>
    <w:p w14:paraId="0526D773" w14:textId="77777777" w:rsidR="00711C2E" w:rsidRPr="00733101" w:rsidRDefault="00711C2E" w:rsidP="00711C2E">
      <w:pPr>
        <w:jc w:val="both"/>
        <w:rPr>
          <w:rFonts w:ascii="Arial" w:hAnsi="Arial" w:cs="Arial"/>
        </w:rPr>
      </w:pPr>
      <w:r w:rsidRPr="00733101">
        <w:rPr>
          <w:rFonts w:ascii="Arial" w:hAnsi="Arial" w:cs="Arial"/>
        </w:rPr>
        <w:t>Results</w:t>
      </w:r>
      <w:r>
        <w:rPr>
          <w:rFonts w:ascii="Arial" w:hAnsi="Arial" w:cs="Arial"/>
        </w:rPr>
        <w:t xml:space="preserve">: </w:t>
      </w:r>
      <w:r w:rsidRPr="00733101">
        <w:rPr>
          <w:rFonts w:ascii="Arial" w:hAnsi="Arial" w:cs="Arial"/>
        </w:rPr>
        <w:t xml:space="preserve">Among 13,868 admissions, </w:t>
      </w:r>
      <w:r>
        <w:rPr>
          <w:rFonts w:ascii="Arial" w:hAnsi="Arial" w:cs="Arial"/>
        </w:rPr>
        <w:t xml:space="preserve">there were </w:t>
      </w:r>
      <w:r w:rsidRPr="00733101">
        <w:rPr>
          <w:rFonts w:ascii="Arial" w:hAnsi="Arial" w:cs="Arial"/>
        </w:rPr>
        <w:t xml:space="preserve">1,340 (9.7%) </w:t>
      </w:r>
      <w:r>
        <w:rPr>
          <w:rFonts w:ascii="Arial" w:hAnsi="Arial" w:cs="Arial"/>
        </w:rPr>
        <w:t xml:space="preserve">people </w:t>
      </w:r>
      <w:r w:rsidRPr="00733101">
        <w:rPr>
          <w:rFonts w:ascii="Arial" w:hAnsi="Arial" w:cs="Arial"/>
        </w:rPr>
        <w:t xml:space="preserve">prescribed a GLP-1RA preadmission. Thirty-day mortality </w:t>
      </w:r>
      <w:r>
        <w:rPr>
          <w:rFonts w:ascii="Arial" w:hAnsi="Arial" w:cs="Arial"/>
        </w:rPr>
        <w:t xml:space="preserve">occurred in 2.4% of </w:t>
      </w:r>
      <w:r w:rsidRPr="00733101">
        <w:rPr>
          <w:rFonts w:ascii="Arial" w:hAnsi="Arial" w:cs="Arial"/>
        </w:rPr>
        <w:t xml:space="preserve">GLP-1RA users </w:t>
      </w:r>
      <w:r>
        <w:rPr>
          <w:rFonts w:ascii="Arial" w:hAnsi="Arial" w:cs="Arial"/>
        </w:rPr>
        <w:t xml:space="preserve">and </w:t>
      </w:r>
      <w:r w:rsidRPr="00733101">
        <w:rPr>
          <w:rFonts w:ascii="Arial" w:hAnsi="Arial" w:cs="Arial"/>
        </w:rPr>
        <w:t>6.4%</w:t>
      </w:r>
      <w:r>
        <w:rPr>
          <w:rFonts w:ascii="Arial" w:hAnsi="Arial" w:cs="Arial"/>
        </w:rPr>
        <w:t xml:space="preserve"> of GLP-1RA non-users</w:t>
      </w:r>
      <w:r w:rsidRPr="00733101">
        <w:rPr>
          <w:rFonts w:ascii="Arial" w:hAnsi="Arial" w:cs="Arial"/>
        </w:rPr>
        <w:t xml:space="preserve">. After adjustment, preadmission GLP-1RA use was associated with </w:t>
      </w:r>
      <w:r>
        <w:rPr>
          <w:rFonts w:ascii="Arial" w:hAnsi="Arial" w:cs="Arial"/>
        </w:rPr>
        <w:t>lower</w:t>
      </w:r>
      <w:r w:rsidRPr="00733101">
        <w:rPr>
          <w:rFonts w:ascii="Arial" w:hAnsi="Arial" w:cs="Arial"/>
        </w:rPr>
        <w:t xml:space="preserve"> 30-day mortality (adjusted odds ratio [</w:t>
      </w:r>
      <w:proofErr w:type="spellStart"/>
      <w:r w:rsidRPr="00733101">
        <w:rPr>
          <w:rFonts w:ascii="Arial" w:hAnsi="Arial" w:cs="Arial"/>
        </w:rPr>
        <w:t>aOR</w:t>
      </w:r>
      <w:proofErr w:type="spellEnd"/>
      <w:r w:rsidRPr="00733101">
        <w:rPr>
          <w:rFonts w:ascii="Arial" w:hAnsi="Arial" w:cs="Arial"/>
        </w:rPr>
        <w:t>] 0.50, 95% CI 0.34</w:t>
      </w:r>
      <w:r>
        <w:rPr>
          <w:rFonts w:ascii="Arial" w:hAnsi="Arial" w:cs="Arial"/>
        </w:rPr>
        <w:t xml:space="preserve"> to </w:t>
      </w:r>
      <w:r w:rsidRPr="00733101">
        <w:rPr>
          <w:rFonts w:ascii="Arial" w:hAnsi="Arial" w:cs="Arial"/>
        </w:rPr>
        <w:t>0.72</w:t>
      </w:r>
      <w:r>
        <w:rPr>
          <w:rFonts w:ascii="Arial" w:hAnsi="Arial" w:cs="Arial"/>
        </w:rPr>
        <w:t>; standardised risk difference -0.021, 95% CI -0.031 to -0.012)</w:t>
      </w:r>
      <w:r w:rsidRPr="00733101">
        <w:rPr>
          <w:rFonts w:ascii="Arial" w:hAnsi="Arial" w:cs="Arial"/>
        </w:rPr>
        <w:t>. There was no significant association between GLP-1RA use and 30-day hospital readmission (</w:t>
      </w:r>
      <w:proofErr w:type="spellStart"/>
      <w:r w:rsidRPr="00733101">
        <w:rPr>
          <w:rFonts w:ascii="Arial" w:hAnsi="Arial" w:cs="Arial"/>
        </w:rPr>
        <w:t>aOR</w:t>
      </w:r>
      <w:proofErr w:type="spellEnd"/>
      <w:r w:rsidRPr="00733101">
        <w:rPr>
          <w:rFonts w:ascii="Arial" w:hAnsi="Arial" w:cs="Arial"/>
        </w:rPr>
        <w:t xml:space="preserve"> 0.89, 95% CI 0.75–1.06). No significant differences were observed in ICU admission, inpatient hyperglycaemia, hypoglycaemia, hypotension, or length of stay between groups.</w:t>
      </w:r>
    </w:p>
    <w:p w14:paraId="3E241318" w14:textId="77777777" w:rsidR="00711C2E" w:rsidRPr="00733101" w:rsidRDefault="00711C2E" w:rsidP="00711C2E">
      <w:pPr>
        <w:jc w:val="both"/>
        <w:rPr>
          <w:rFonts w:ascii="Arial" w:hAnsi="Arial" w:cs="Arial"/>
        </w:rPr>
      </w:pPr>
    </w:p>
    <w:p w14:paraId="08FD6207" w14:textId="77777777" w:rsidR="00711C2E" w:rsidRPr="007244F0" w:rsidRDefault="00711C2E" w:rsidP="00711C2E">
      <w:pPr>
        <w:jc w:val="both"/>
        <w:rPr>
          <w:rFonts w:ascii="Arial" w:hAnsi="Arial" w:cs="Arial"/>
        </w:rPr>
      </w:pPr>
      <w:r w:rsidRPr="00733101">
        <w:rPr>
          <w:rFonts w:ascii="Arial" w:hAnsi="Arial" w:cs="Arial"/>
        </w:rPr>
        <w:t>Conclusion</w:t>
      </w:r>
      <w:r>
        <w:rPr>
          <w:rFonts w:ascii="Arial" w:hAnsi="Arial" w:cs="Arial"/>
        </w:rPr>
        <w:t xml:space="preserve">: </w:t>
      </w:r>
      <w:r w:rsidRPr="00733101">
        <w:rPr>
          <w:rFonts w:ascii="Arial" w:hAnsi="Arial" w:cs="Arial"/>
        </w:rPr>
        <w:t xml:space="preserve">Preadmission GLP-1RA use was associated with substantially lower 30-day all-cause mortality </w:t>
      </w:r>
      <w:r>
        <w:rPr>
          <w:rFonts w:ascii="Arial" w:hAnsi="Arial" w:cs="Arial"/>
        </w:rPr>
        <w:t>among inpatients</w:t>
      </w:r>
      <w:r>
        <w:rPr>
          <w:rStyle w:val="CommentReference"/>
        </w:rPr>
        <w:t xml:space="preserve"> </w:t>
      </w:r>
      <w:r w:rsidRPr="00733101">
        <w:rPr>
          <w:rFonts w:ascii="Arial" w:hAnsi="Arial" w:cs="Arial"/>
        </w:rPr>
        <w:t>with type 2 diabetes, without differences in readmission or inpatient complications. These findings suggest a potential protective effect of GLP-1RAs in</w:t>
      </w:r>
      <w:r>
        <w:rPr>
          <w:rFonts w:ascii="Arial" w:hAnsi="Arial" w:cs="Arial"/>
        </w:rPr>
        <w:t xml:space="preserve"> h</w:t>
      </w:r>
      <w:r w:rsidRPr="00733101">
        <w:rPr>
          <w:rFonts w:ascii="Arial" w:hAnsi="Arial" w:cs="Arial"/>
        </w:rPr>
        <w:t>ospitalised populations and support further prospective evaluation of peri-hospitalisation GLP-1RA management.</w:t>
      </w:r>
    </w:p>
    <w:p w14:paraId="036E533F" w14:textId="77777777" w:rsidR="00117FD5" w:rsidRDefault="00117FD5"/>
    <w:sectPr w:rsidR="00117FD5" w:rsidSect="00C24E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2E"/>
    <w:rsid w:val="000523DB"/>
    <w:rsid w:val="0005395B"/>
    <w:rsid w:val="00077DBC"/>
    <w:rsid w:val="000D4E07"/>
    <w:rsid w:val="000E0F5B"/>
    <w:rsid w:val="000E127D"/>
    <w:rsid w:val="001043BC"/>
    <w:rsid w:val="00117FD5"/>
    <w:rsid w:val="001279A5"/>
    <w:rsid w:val="001316C1"/>
    <w:rsid w:val="00134B31"/>
    <w:rsid w:val="00135146"/>
    <w:rsid w:val="001352A8"/>
    <w:rsid w:val="00153216"/>
    <w:rsid w:val="00157F29"/>
    <w:rsid w:val="00193A9B"/>
    <w:rsid w:val="001A1DD5"/>
    <w:rsid w:val="001A3EF1"/>
    <w:rsid w:val="001C63F0"/>
    <w:rsid w:val="001D7F99"/>
    <w:rsid w:val="00224455"/>
    <w:rsid w:val="00232491"/>
    <w:rsid w:val="00237AD3"/>
    <w:rsid w:val="002559B9"/>
    <w:rsid w:val="00257A7B"/>
    <w:rsid w:val="00262970"/>
    <w:rsid w:val="00264A5F"/>
    <w:rsid w:val="00277874"/>
    <w:rsid w:val="002844EB"/>
    <w:rsid w:val="002B5941"/>
    <w:rsid w:val="002D2FF0"/>
    <w:rsid w:val="002E0705"/>
    <w:rsid w:val="002E4937"/>
    <w:rsid w:val="0030177F"/>
    <w:rsid w:val="0033283D"/>
    <w:rsid w:val="003503DE"/>
    <w:rsid w:val="003D3916"/>
    <w:rsid w:val="003E4A0C"/>
    <w:rsid w:val="003E6454"/>
    <w:rsid w:val="003F1023"/>
    <w:rsid w:val="00424B6A"/>
    <w:rsid w:val="00432F36"/>
    <w:rsid w:val="00440645"/>
    <w:rsid w:val="004474DB"/>
    <w:rsid w:val="004A3D67"/>
    <w:rsid w:val="004D514E"/>
    <w:rsid w:val="004F41B7"/>
    <w:rsid w:val="0051762A"/>
    <w:rsid w:val="005215E9"/>
    <w:rsid w:val="005372A9"/>
    <w:rsid w:val="00544384"/>
    <w:rsid w:val="00550CF5"/>
    <w:rsid w:val="00554BE2"/>
    <w:rsid w:val="00591251"/>
    <w:rsid w:val="005A28D9"/>
    <w:rsid w:val="005C1187"/>
    <w:rsid w:val="005C41E4"/>
    <w:rsid w:val="005C496D"/>
    <w:rsid w:val="005D055C"/>
    <w:rsid w:val="005D0B6D"/>
    <w:rsid w:val="005E37D8"/>
    <w:rsid w:val="00605AC5"/>
    <w:rsid w:val="006700B7"/>
    <w:rsid w:val="006941A4"/>
    <w:rsid w:val="00695923"/>
    <w:rsid w:val="006A37C1"/>
    <w:rsid w:val="006C7D01"/>
    <w:rsid w:val="006E5908"/>
    <w:rsid w:val="006F0EDE"/>
    <w:rsid w:val="00702171"/>
    <w:rsid w:val="007075D2"/>
    <w:rsid w:val="007118B0"/>
    <w:rsid w:val="00711C2E"/>
    <w:rsid w:val="00724862"/>
    <w:rsid w:val="00744CD2"/>
    <w:rsid w:val="00790E77"/>
    <w:rsid w:val="0079259D"/>
    <w:rsid w:val="007B3269"/>
    <w:rsid w:val="007C35F2"/>
    <w:rsid w:val="007E2774"/>
    <w:rsid w:val="00813A1F"/>
    <w:rsid w:val="00836431"/>
    <w:rsid w:val="00846A23"/>
    <w:rsid w:val="00861494"/>
    <w:rsid w:val="00871B7D"/>
    <w:rsid w:val="00872B8A"/>
    <w:rsid w:val="008A5E85"/>
    <w:rsid w:val="00901B02"/>
    <w:rsid w:val="0092415B"/>
    <w:rsid w:val="00944037"/>
    <w:rsid w:val="0095715D"/>
    <w:rsid w:val="00964B84"/>
    <w:rsid w:val="00991539"/>
    <w:rsid w:val="009A0256"/>
    <w:rsid w:val="009A11F6"/>
    <w:rsid w:val="009C7E0A"/>
    <w:rsid w:val="009D2C22"/>
    <w:rsid w:val="00A1514F"/>
    <w:rsid w:val="00A179C3"/>
    <w:rsid w:val="00A46C7C"/>
    <w:rsid w:val="00A712EE"/>
    <w:rsid w:val="00A8374B"/>
    <w:rsid w:val="00A87D89"/>
    <w:rsid w:val="00AA2458"/>
    <w:rsid w:val="00AB784B"/>
    <w:rsid w:val="00AD4209"/>
    <w:rsid w:val="00B16738"/>
    <w:rsid w:val="00B44667"/>
    <w:rsid w:val="00B55AF4"/>
    <w:rsid w:val="00B63A52"/>
    <w:rsid w:val="00BB0CBD"/>
    <w:rsid w:val="00BC6169"/>
    <w:rsid w:val="00C16329"/>
    <w:rsid w:val="00C24E21"/>
    <w:rsid w:val="00C30F37"/>
    <w:rsid w:val="00C522EF"/>
    <w:rsid w:val="00C67502"/>
    <w:rsid w:val="00C7411E"/>
    <w:rsid w:val="00C90B35"/>
    <w:rsid w:val="00CD7866"/>
    <w:rsid w:val="00D0243E"/>
    <w:rsid w:val="00D1215A"/>
    <w:rsid w:val="00D23E81"/>
    <w:rsid w:val="00D61211"/>
    <w:rsid w:val="00D810F3"/>
    <w:rsid w:val="00D91546"/>
    <w:rsid w:val="00D95BD6"/>
    <w:rsid w:val="00DC14A5"/>
    <w:rsid w:val="00DD44B9"/>
    <w:rsid w:val="00E33929"/>
    <w:rsid w:val="00E53F29"/>
    <w:rsid w:val="00E62874"/>
    <w:rsid w:val="00E941B5"/>
    <w:rsid w:val="00EA14D8"/>
    <w:rsid w:val="00EC403A"/>
    <w:rsid w:val="00EE32A4"/>
    <w:rsid w:val="00EE46C3"/>
    <w:rsid w:val="00F120B0"/>
    <w:rsid w:val="00F27CBD"/>
    <w:rsid w:val="00F327CF"/>
    <w:rsid w:val="00F42E89"/>
    <w:rsid w:val="00F468CF"/>
    <w:rsid w:val="00F50AC6"/>
    <w:rsid w:val="00F52504"/>
    <w:rsid w:val="00F83517"/>
    <w:rsid w:val="00F8740C"/>
    <w:rsid w:val="00FD642D"/>
    <w:rsid w:val="00FD7156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FA6E3"/>
  <w15:chartTrackingRefBased/>
  <w15:docId w15:val="{E6C9A551-D488-FE4D-84C9-C86E8A31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2E"/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C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C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C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C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C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C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C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C2E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1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C2E"/>
    <w:pPr>
      <w:ind w:left="720"/>
      <w:contextualSpacing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1C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C2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11C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1903</Characters>
  <Application>Microsoft Office Word</Application>
  <DocSecurity>0</DocSecurity>
  <Lines>32</Lines>
  <Paragraphs>5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Goshrani, Ashni (RMH)</dc:creator>
  <cp:keywords/>
  <dc:description/>
  <cp:lastModifiedBy>Ashni Goshrani</cp:lastModifiedBy>
  <cp:revision>2</cp:revision>
  <dcterms:created xsi:type="dcterms:W3CDTF">2026-02-11T03:51:00Z</dcterms:created>
  <dcterms:modified xsi:type="dcterms:W3CDTF">2026-03-11T03:17:00Z</dcterms:modified>
</cp:coreProperties>
</file>