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38D8418A" w14:textId="03677844" w:rsidR="002B7FC8" w:rsidRDefault="0090061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/>
              </w:rPr>
              <w:t>C</w:t>
            </w:r>
            <w:r w:rsidR="003A7676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o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-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d</w:t>
            </w:r>
            <w:r w:rsidR="003A7676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esign 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with refugee and a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sylum 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s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eeker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s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</w:t>
            </w:r>
            <w:r w:rsidR="003A7676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in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m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ental </w:t>
            </w:r>
            <w:r w:rsid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h</w:t>
            </w:r>
            <w:r w:rsidR="0031297B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>ealth -</w:t>
            </w:r>
            <w:r w:rsidR="003A7676" w:rsidRPr="0031297B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Seat at the Table </w:t>
            </w:r>
          </w:p>
          <w:p w14:paraId="5A4DE24F" w14:textId="0CF1F1DC" w:rsidR="003A7676" w:rsidRPr="00A15404" w:rsidRDefault="003A767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2B7FC8" w:rsidRPr="0003525D" w14:paraId="5A4DE264" w14:textId="77777777" w:rsidTr="003A7676">
        <w:trPr>
          <w:trHeight w:val="1408"/>
        </w:trPr>
        <w:tc>
          <w:tcPr>
            <w:tcW w:w="8640" w:type="dxa"/>
          </w:tcPr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6135249" w14:textId="592E8AA1" w:rsidR="0031297B" w:rsidRPr="00A21F83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F83">
              <w:rPr>
                <w:rFonts w:ascii="Arial" w:hAnsi="Arial" w:cs="Arial"/>
                <w:sz w:val="22"/>
                <w:szCs w:val="22"/>
              </w:rPr>
              <w:t>The Seat at the Table (SATT) project br</w:t>
            </w:r>
            <w:r w:rsidR="00BE4824">
              <w:rPr>
                <w:rFonts w:ascii="Arial" w:hAnsi="Arial" w:cs="Arial"/>
                <w:sz w:val="22"/>
                <w:szCs w:val="22"/>
              </w:rPr>
              <w:t>ought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 young people from refugee and</w:t>
            </w:r>
          </w:p>
          <w:p w14:paraId="093A1813" w14:textId="69891D13" w:rsidR="0031297B" w:rsidRPr="00A21F83" w:rsidRDefault="00A913AE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asylum seeker backgrounds </w:t>
            </w:r>
            <w:r w:rsidR="00BE4824" w:rsidRPr="00A21F83">
              <w:rPr>
                <w:rFonts w:ascii="Arial" w:hAnsi="Arial" w:cs="Arial"/>
                <w:sz w:val="22"/>
                <w:szCs w:val="22"/>
              </w:rPr>
              <w:t xml:space="preserve">together </w:t>
            </w:r>
            <w:r w:rsidR="0031297B" w:rsidRPr="00A21F83">
              <w:rPr>
                <w:rFonts w:ascii="Arial" w:hAnsi="Arial" w:cs="Arial"/>
                <w:sz w:val="22"/>
                <w:szCs w:val="22"/>
              </w:rPr>
              <w:t xml:space="preserve">with providers of mental health services in Melbourne’s western suburbs of </w:t>
            </w:r>
            <w:proofErr w:type="spellStart"/>
            <w:r w:rsidR="0031297B" w:rsidRPr="00A21F83">
              <w:rPr>
                <w:rFonts w:ascii="Arial" w:hAnsi="Arial" w:cs="Arial"/>
                <w:sz w:val="22"/>
                <w:szCs w:val="22"/>
              </w:rPr>
              <w:t>Brimbank</w:t>
            </w:r>
            <w:proofErr w:type="spellEnd"/>
            <w:r w:rsidR="0031297B" w:rsidRPr="00A21F83">
              <w:rPr>
                <w:rFonts w:ascii="Arial" w:hAnsi="Arial" w:cs="Arial"/>
                <w:sz w:val="22"/>
                <w:szCs w:val="22"/>
              </w:rPr>
              <w:t>, Hobsons Bay, Maribyrnong, Melton and Wyndham.</w:t>
            </w:r>
          </w:p>
          <w:p w14:paraId="14BA36E5" w14:textId="244A43A7" w:rsidR="0031297B" w:rsidRPr="00A21F83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1F83">
              <w:rPr>
                <w:rFonts w:ascii="Arial" w:hAnsi="Arial" w:cs="Arial"/>
                <w:color w:val="000000"/>
                <w:sz w:val="22"/>
                <w:szCs w:val="22"/>
              </w:rPr>
              <w:t>This mental health project highlight</w:t>
            </w:r>
            <w:r w:rsidR="00975B31">
              <w:rPr>
                <w:rFonts w:ascii="Arial" w:hAnsi="Arial" w:cs="Arial"/>
                <w:color w:val="000000"/>
                <w:sz w:val="22"/>
                <w:szCs w:val="22"/>
              </w:rPr>
              <w:t>ed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importance of working with young people,</w:t>
            </w:r>
          </w:p>
          <w:p w14:paraId="5A4DE257" w14:textId="65A4D472" w:rsidR="00DA7A71" w:rsidRPr="00A21F83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21F83">
              <w:rPr>
                <w:rFonts w:ascii="Arial" w:hAnsi="Arial" w:cs="Arial"/>
                <w:color w:val="000000"/>
                <w:sz w:val="22"/>
                <w:szCs w:val="22"/>
              </w:rPr>
              <w:t>specifically</w:t>
            </w:r>
            <w:proofErr w:type="gramEnd"/>
            <w:r w:rsidRPr="00A21F83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refugee and asylum seeker communities, and that development of project work and services in the area of mental health should include their active participation and contribution</w:t>
            </w:r>
            <w:r w:rsidR="00BE4824">
              <w:rPr>
                <w:rFonts w:ascii="Arial" w:hAnsi="Arial" w:cs="Arial"/>
                <w:color w:val="000000"/>
                <w:sz w:val="22"/>
                <w:szCs w:val="22"/>
              </w:rPr>
              <w:t xml:space="preserve"> at every level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5B23840" w14:textId="77777777" w:rsidR="0031297B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32C119A3" w14:textId="3AE25362" w:rsidR="003A7676" w:rsidRDefault="00271EAB" w:rsidP="00A15404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The process involved working with the core participants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(young people and service providers) 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of the SATT project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on a governance group and in subsequent sub-committees for the different piloted ideas. The core parti</w:t>
            </w:r>
            <w:r w:rsidR="00A15404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pants </w:t>
            </w:r>
            <w:r w:rsidR="00A15404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explored the theme, generated ideas and completed training on the co-design process. </w:t>
            </w:r>
            <w:r w:rsidR="003A7676">
              <w:rPr>
                <w:rFonts w:ascii="Arial" w:hAnsi="Arial" w:cs="Arial"/>
                <w:sz w:val="22"/>
                <w:szCs w:val="22"/>
              </w:rPr>
              <w:t>As well as the</w:t>
            </w:r>
            <w:r w:rsidR="003A7676" w:rsidRPr="00A21F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7676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co-design training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, SATT ran</w:t>
            </w:r>
            <w:r w:rsidR="003A7676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idea generation sessions, a prototyping workshop, roadshows and piloting of ideas.</w:t>
            </w:r>
          </w:p>
          <w:p w14:paraId="1B2200DE" w14:textId="7BA7F082" w:rsidR="00271EAB" w:rsidRPr="00A21F83" w:rsidRDefault="00A15404" w:rsidP="003A7676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This training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and workshops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sought to help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the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members 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deliver the project jointly,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develop</w:t>
            </w:r>
            <w:r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 shared sense of co-design moving forward and understand the potential barriers and challenges.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SATT</w:t>
            </w:r>
            <w:r w:rsidR="00271EA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also included working with a </w:t>
            </w:r>
            <w:r w:rsidR="00271EAB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broader community of young people from </w:t>
            </w:r>
            <w:r w:rsidR="003A7676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refugee 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and </w:t>
            </w:r>
            <w:r w:rsidR="00271EAB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asylum seeker backgrounds th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rough the</w:t>
            </w:r>
            <w:r w:rsidR="00271EAB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series of </w:t>
            </w:r>
            <w:r w:rsidR="00271EA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roadshows</w:t>
            </w:r>
            <w:r w:rsidR="00271EAB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and workshops.</w:t>
            </w: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4C414BD" w14:textId="77777777" w:rsidR="00975B31" w:rsidRPr="0006096D" w:rsidRDefault="00975B31" w:rsidP="00975B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06096D">
              <w:rPr>
                <w:rFonts w:ascii="Arial" w:hAnsi="Arial" w:cs="Arial"/>
                <w:sz w:val="22"/>
                <w:szCs w:val="22"/>
              </w:rPr>
              <w:t>SATT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worked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to actively engage young people with lived experience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to work together with service providers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. The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ultimate goal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31297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showcase</w:t>
            </w:r>
            <w:r w:rsidRPr="0031297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value</w:t>
            </w:r>
            <w:r w:rsidRPr="0031297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of community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1297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participati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ng</w:t>
            </w:r>
            <w:r w:rsidRPr="0031297B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in the decision-making process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when designing interventions in mental health. 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The project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included:</w:t>
            </w:r>
          </w:p>
          <w:p w14:paraId="115C6018" w14:textId="523B0A34" w:rsidR="00975B31" w:rsidRPr="0006096D" w:rsidRDefault="00975B31" w:rsidP="00975B3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The d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evelop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ment of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an exemplary model of participation and capacity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building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amongst service </w:t>
            </w:r>
            <w:r w:rsidR="003A7676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providers</w:t>
            </w:r>
          </w:p>
          <w:p w14:paraId="1FDF2C7F" w14:textId="77777777" w:rsidR="00975B31" w:rsidRPr="0031297B" w:rsidRDefault="00975B31" w:rsidP="00975B3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Improve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d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participation in mental health services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via young people on a governance group itself</w:t>
            </w:r>
          </w:p>
          <w:p w14:paraId="4FBACB51" w14:textId="77777777" w:rsidR="00975B31" w:rsidRPr="0006096D" w:rsidRDefault="00975B31" w:rsidP="00975B3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Establish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ment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and support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of 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a network of young people fro</w:t>
            </w:r>
            <w:bookmarkStart w:id="0" w:name="_GoBack"/>
            <w:bookmarkEnd w:id="0"/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m refugee and asylum seeker backgrounds with an interest in mental health</w:t>
            </w:r>
          </w:p>
          <w:p w14:paraId="4C16D1B2" w14:textId="77777777" w:rsidR="00975B31" w:rsidRPr="0006096D" w:rsidRDefault="00975B31" w:rsidP="00975B3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Pilot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ed</w:t>
            </w:r>
            <w:r w:rsidRPr="0006096D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innovative strategies to promote mental health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led by the young people</w:t>
            </w:r>
          </w:p>
          <w:p w14:paraId="089DEF63" w14:textId="56D3F9B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03C3E1" w14:textId="023A7EB1" w:rsidR="0031297B" w:rsidRPr="00A21F83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F83">
              <w:rPr>
                <w:rFonts w:ascii="Arial" w:hAnsi="Arial" w:cs="Arial"/>
                <w:sz w:val="22"/>
                <w:szCs w:val="22"/>
              </w:rPr>
              <w:t xml:space="preserve">The SATT project </w:t>
            </w:r>
            <w:r w:rsidR="00A15404">
              <w:rPr>
                <w:rFonts w:ascii="Arial" w:hAnsi="Arial" w:cs="Arial"/>
                <w:sz w:val="22"/>
                <w:szCs w:val="22"/>
              </w:rPr>
              <w:t>was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 an ambitious initiative which s</w:t>
            </w:r>
            <w:r w:rsidR="00A15404">
              <w:rPr>
                <w:rFonts w:ascii="Arial" w:hAnsi="Arial" w:cs="Arial"/>
                <w:sz w:val="22"/>
                <w:szCs w:val="22"/>
              </w:rPr>
              <w:t>ort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 to grow leadership abilities,</w:t>
            </w:r>
          </w:p>
          <w:p w14:paraId="77EB8724" w14:textId="127E7605" w:rsidR="003508FB" w:rsidRDefault="0031297B" w:rsidP="003129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F83">
              <w:rPr>
                <w:rFonts w:ascii="Arial" w:hAnsi="Arial" w:cs="Arial"/>
                <w:sz w:val="22"/>
                <w:szCs w:val="22"/>
              </w:rPr>
              <w:t xml:space="preserve">cultivate strategic relationships </w:t>
            </w:r>
            <w:r w:rsidR="00A15404">
              <w:rPr>
                <w:rFonts w:ascii="Arial" w:hAnsi="Arial" w:cs="Arial"/>
                <w:sz w:val="22"/>
                <w:szCs w:val="22"/>
              </w:rPr>
              <w:t xml:space="preserve">to help the target audience, showcase community </w:t>
            </w:r>
            <w:r w:rsidR="003A7676">
              <w:rPr>
                <w:rFonts w:ascii="Arial" w:hAnsi="Arial" w:cs="Arial"/>
                <w:sz w:val="22"/>
                <w:szCs w:val="22"/>
              </w:rPr>
              <w:t>participation</w:t>
            </w:r>
            <w:r w:rsidR="00A15404">
              <w:rPr>
                <w:rFonts w:ascii="Arial" w:hAnsi="Arial" w:cs="Arial"/>
                <w:sz w:val="22"/>
                <w:szCs w:val="22"/>
              </w:rPr>
              <w:t xml:space="preserve"> in practice and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 create innovative</w:t>
            </w:r>
            <w:r w:rsidR="00A15404">
              <w:rPr>
                <w:rFonts w:ascii="Arial" w:hAnsi="Arial" w:cs="Arial"/>
                <w:sz w:val="22"/>
                <w:szCs w:val="22"/>
              </w:rPr>
              <w:t xml:space="preserve"> strategies with 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broader </w:t>
            </w:r>
            <w:r w:rsidR="00A15404">
              <w:rPr>
                <w:rFonts w:ascii="Arial" w:hAnsi="Arial" w:cs="Arial"/>
                <w:sz w:val="22"/>
                <w:szCs w:val="22"/>
              </w:rPr>
              <w:t>service provider field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508FB" w:rsidRPr="00A21F83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Ultimately, </w:t>
            </w:r>
            <w:r w:rsidRPr="00A21F83">
              <w:rPr>
                <w:rFonts w:ascii="Arial" w:hAnsi="Arial" w:cs="Arial"/>
                <w:sz w:val="22"/>
                <w:szCs w:val="22"/>
              </w:rPr>
              <w:t xml:space="preserve">the SATT project </w:t>
            </w:r>
            <w:r w:rsidR="003508FB">
              <w:rPr>
                <w:rFonts w:ascii="Arial" w:hAnsi="Arial" w:cs="Arial"/>
                <w:sz w:val="22"/>
                <w:szCs w:val="22"/>
              </w:rPr>
              <w:t xml:space="preserve">was designed to test the use of codesign with multiple partners in the mental health and youth service sector. </w:t>
            </w:r>
            <w:r w:rsidR="00A15404">
              <w:rPr>
                <w:rFonts w:ascii="Arial" w:hAnsi="Arial" w:cs="Arial"/>
                <w:sz w:val="22"/>
                <w:szCs w:val="22"/>
              </w:rPr>
              <w:t xml:space="preserve">While the process was </w:t>
            </w:r>
            <w:proofErr w:type="gramStart"/>
            <w:r w:rsidR="00A15404">
              <w:rPr>
                <w:rFonts w:ascii="Arial" w:hAnsi="Arial" w:cs="Arial"/>
                <w:sz w:val="22"/>
                <w:szCs w:val="22"/>
              </w:rPr>
              <w:t>trialled</w:t>
            </w:r>
            <w:proofErr w:type="gramEnd"/>
            <w:r w:rsidR="00A15404">
              <w:rPr>
                <w:rFonts w:ascii="Arial" w:hAnsi="Arial" w:cs="Arial"/>
                <w:sz w:val="22"/>
                <w:szCs w:val="22"/>
              </w:rPr>
              <w:t xml:space="preserve"> and the ideas were piloted there were both benefits and challenges to using this level of engagement with this cohort. 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6179616B" w:rsidR="00DA7A71" w:rsidRPr="0031297B" w:rsidRDefault="0025023F" w:rsidP="009006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  <w:r w:rsidR="0090061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1297B">
              <w:rPr>
                <w:rFonts w:ascii="Arial" w:hAnsi="Arial" w:cs="Arial"/>
                <w:b/>
                <w:sz w:val="22"/>
                <w:szCs w:val="22"/>
              </w:rPr>
              <w:t>Electronic poster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51E24"/>
    <w:multiLevelType w:val="hybridMultilevel"/>
    <w:tmpl w:val="267828D8"/>
    <w:lvl w:ilvl="0" w:tplc="3CBA0932">
      <w:numFmt w:val="bullet"/>
      <w:lvlText w:val="-"/>
      <w:lvlJc w:val="left"/>
      <w:pPr>
        <w:ind w:left="720" w:hanging="360"/>
      </w:pPr>
      <w:rPr>
        <w:rFonts w:ascii="OpenSans-Light" w:eastAsia="Times New Roman" w:hAnsi="OpenSans-Light" w:cs="OpenSans-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67454"/>
    <w:rsid w:val="00077988"/>
    <w:rsid w:val="00081930"/>
    <w:rsid w:val="0008349E"/>
    <w:rsid w:val="000C05CE"/>
    <w:rsid w:val="00131D1E"/>
    <w:rsid w:val="001C3A37"/>
    <w:rsid w:val="00211765"/>
    <w:rsid w:val="00230B21"/>
    <w:rsid w:val="00242808"/>
    <w:rsid w:val="0025023F"/>
    <w:rsid w:val="00271EAB"/>
    <w:rsid w:val="0027774E"/>
    <w:rsid w:val="00294265"/>
    <w:rsid w:val="002B7FC8"/>
    <w:rsid w:val="002F34DB"/>
    <w:rsid w:val="0031297B"/>
    <w:rsid w:val="00317FFE"/>
    <w:rsid w:val="003508FB"/>
    <w:rsid w:val="00363AF7"/>
    <w:rsid w:val="003A6236"/>
    <w:rsid w:val="003A7676"/>
    <w:rsid w:val="003B15A7"/>
    <w:rsid w:val="003B6FC1"/>
    <w:rsid w:val="003F596D"/>
    <w:rsid w:val="00490208"/>
    <w:rsid w:val="00492ABF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85E9C"/>
    <w:rsid w:val="006C6E32"/>
    <w:rsid w:val="0070252B"/>
    <w:rsid w:val="00714C46"/>
    <w:rsid w:val="007A2A9C"/>
    <w:rsid w:val="007E61BA"/>
    <w:rsid w:val="0082392D"/>
    <w:rsid w:val="008874BF"/>
    <w:rsid w:val="008B5A2C"/>
    <w:rsid w:val="008C05AC"/>
    <w:rsid w:val="00900614"/>
    <w:rsid w:val="00932377"/>
    <w:rsid w:val="009579B1"/>
    <w:rsid w:val="00975B31"/>
    <w:rsid w:val="00994DCB"/>
    <w:rsid w:val="009B7881"/>
    <w:rsid w:val="009C7B98"/>
    <w:rsid w:val="00A112C8"/>
    <w:rsid w:val="00A15404"/>
    <w:rsid w:val="00A1780F"/>
    <w:rsid w:val="00A21F83"/>
    <w:rsid w:val="00A913AE"/>
    <w:rsid w:val="00AA1598"/>
    <w:rsid w:val="00AA5B46"/>
    <w:rsid w:val="00AB42C9"/>
    <w:rsid w:val="00B12CD1"/>
    <w:rsid w:val="00B20967"/>
    <w:rsid w:val="00B766BF"/>
    <w:rsid w:val="00BC5CBE"/>
    <w:rsid w:val="00BE4824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NoSpacing">
    <w:name w:val="No Spacing"/>
    <w:uiPriority w:val="1"/>
    <w:qFormat/>
    <w:rsid w:val="0031297B"/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ListParagraph">
    <w:name w:val="List Paragraph"/>
    <w:basedOn w:val="Normal"/>
    <w:uiPriority w:val="72"/>
    <w:qFormat/>
    <w:rsid w:val="0031297B"/>
    <w:pPr>
      <w:ind w:left="720"/>
      <w:contextualSpacing/>
    </w:pPr>
    <w:rPr>
      <w:rFonts w:ascii="Cambria" w:hAnsi="Cambria"/>
      <w:sz w:val="20"/>
      <w:szCs w:val="20"/>
      <w:lang w:val="en-AU"/>
    </w:rPr>
  </w:style>
  <w:style w:type="paragraph" w:customStyle="1" w:styleId="DHHSbody">
    <w:name w:val="DHHS body"/>
    <w:link w:val="DHHSbodyChar"/>
    <w:qFormat/>
    <w:rsid w:val="0031297B"/>
    <w:pPr>
      <w:spacing w:after="120" w:line="270" w:lineRule="atLeast"/>
    </w:pPr>
    <w:rPr>
      <w:rFonts w:ascii="Arial" w:eastAsia="Times" w:hAnsi="Arial"/>
      <w:lang w:val="en-AU" w:eastAsia="en-US"/>
    </w:rPr>
  </w:style>
  <w:style w:type="character" w:customStyle="1" w:styleId="DHHSbodyChar">
    <w:name w:val="DHHS body Char"/>
    <w:link w:val="DHHSbody"/>
    <w:rsid w:val="0031297B"/>
    <w:rPr>
      <w:rFonts w:ascii="Arial" w:eastAsia="Times" w:hAnsi="Arial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c8a2b7b-0bee-4c48-b0a6-23db8982d3bc"/>
    <ds:schemaRef ds:uri="http://www.w3.org/XML/1998/namespace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D4B4A-D728-4489-9A9A-948772BAF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2018-09-02T03:03:00Z</dcterms:created>
  <dcterms:modified xsi:type="dcterms:W3CDTF">2018-09-02T03:03:00Z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