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2B3A4" w14:textId="58068862" w:rsidR="0071163F" w:rsidRDefault="0C0CDA24" w:rsidP="1E7F5C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</w:pPr>
      <w:r w:rsidRPr="1E7F5C15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 xml:space="preserve">Title: </w:t>
      </w:r>
      <w:r w:rsidR="66033E3D" w:rsidRPr="1E7F5C15">
        <w:rPr>
          <w:rStyle w:val="normaltextrun"/>
          <w:rFonts w:ascii="Arial" w:eastAsiaTheme="majorEastAsia" w:hAnsi="Arial" w:cs="Arial"/>
          <w:b/>
          <w:bCs/>
          <w:color w:val="000000" w:themeColor="text1"/>
          <w:sz w:val="22"/>
          <w:szCs w:val="22"/>
        </w:rPr>
        <w:t>The effect of changing what or when you eat on diet quality over 6-months in people with Type 2 Diabetes</w:t>
      </w:r>
    </w:p>
    <w:p w14:paraId="3D1B9CC1" w14:textId="77777777" w:rsidR="00273929" w:rsidRDefault="00273929" w:rsidP="0071163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</w:pPr>
    </w:p>
    <w:p w14:paraId="16840EB0" w14:textId="2CF68A49" w:rsidR="0071163F" w:rsidRDefault="4CB8999B" w:rsidP="1E7F5C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Aim</w:t>
      </w:r>
      <w:r w:rsidR="4B23FAD3"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 xml:space="preserve">: 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Improving diet quality is i</w:t>
      </w:r>
      <w:r w:rsidR="4771A43D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mportant for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health, especially </w:t>
      </w:r>
      <w:r w:rsidR="3C73CA3E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for individuals 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with type 2 diabetes </w:t>
      </w:r>
      <w:r w:rsidR="6D6326CE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mellitus 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(T2D</w:t>
      </w:r>
      <w:r w:rsidR="144A4B4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). Time-restricted eating (TRE), where eating is reduced to 8-10 h</w:t>
      </w:r>
      <w:r w:rsidR="7E822A8C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window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per day, may improve diet quality. We explore</w:t>
      </w:r>
      <w:r w:rsidR="401279BB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d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the effect of receiving TRE</w:t>
      </w:r>
      <w:r w:rsidR="5B3A9ABD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advice</w:t>
      </w:r>
      <w:r w:rsidR="4B23FA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versus individualised dietetic advice (DIET) on diet quality over 6-months in people with T2D.</w:t>
      </w:r>
      <w:r w:rsidR="4B23FAD3" w:rsidRPr="3DE40EDD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 </w:t>
      </w:r>
    </w:p>
    <w:p w14:paraId="7C12B709" w14:textId="77777777" w:rsidR="003200F6" w:rsidRPr="00872EB5" w:rsidRDefault="003200F6" w:rsidP="007116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C24684C" w14:textId="324F82D2" w:rsidR="003200F6" w:rsidRDefault="4B23FAD3" w:rsidP="1E7F5C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3DE40EDD"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</w:rPr>
        <w:t xml:space="preserve">Methods: </w:t>
      </w:r>
      <w:r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In a parallel group, randomised controlled trial, 43 participants with T2D</w:t>
      </w:r>
      <w:r w:rsidR="2AF778DF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</w:t>
      </w:r>
      <w:r w:rsidR="5F1BF2FC" w:rsidRPr="003012C5">
        <w:rPr>
          <w:rStyle w:val="Heading1Cha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5F1BF2FC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 xml:space="preserve">(17 F/26 M; age 56 ± 8 y; </w:t>
      </w:r>
      <w:r w:rsidR="5F1BF2FC" w:rsidRPr="1E7F5C15">
        <w:rPr>
          <w:rStyle w:val="normaltextrun"/>
          <w:rFonts w:ascii="Arial" w:eastAsiaTheme="majorEastAsia" w:hAnsi="Arial" w:cs="Arial"/>
          <w:color w:val="1F1F1F"/>
          <w:sz w:val="22"/>
          <w:szCs w:val="22"/>
          <w:shd w:val="clear" w:color="auto" w:fill="FFFFFF"/>
        </w:rPr>
        <w:t>BMI: 32 ± 4 kg/m</w:t>
      </w:r>
      <w:r w:rsidR="5F1BF2FC" w:rsidRPr="1E7F5C15">
        <w:rPr>
          <w:rStyle w:val="normaltextrun"/>
          <w:rFonts w:ascii="Arial" w:eastAsiaTheme="majorEastAsia" w:hAnsi="Arial" w:cs="Arial"/>
          <w:color w:val="1F1F1F"/>
          <w:sz w:val="22"/>
          <w:szCs w:val="22"/>
          <w:shd w:val="clear" w:color="auto" w:fill="FFFFFF"/>
          <w:vertAlign w:val="superscript"/>
        </w:rPr>
        <w:t>2</w:t>
      </w:r>
      <w:r w:rsidR="5F1BF2FC" w:rsidRPr="1E7F5C15">
        <w:rPr>
          <w:rStyle w:val="normaltextrun"/>
          <w:rFonts w:ascii="Arial" w:eastAsiaTheme="majorEastAsia" w:hAnsi="Arial" w:cs="Arial"/>
          <w:color w:val="1F1F1F"/>
          <w:sz w:val="22"/>
          <w:szCs w:val="22"/>
          <w:shd w:val="clear" w:color="auto" w:fill="FFFFFF"/>
        </w:rPr>
        <w:t>; HbA1c: 7.6 ± 0.8%</w:t>
      </w:r>
      <w:r w:rsidR="5F1BF2FC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)</w:t>
      </w:r>
      <w:r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completed a 6-month intervention. Participants were randomly assigned to TRE (1000-1900 h) or DIET, receiving four consult</w:t>
      </w:r>
      <w:r w:rsidR="31C21635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ations</w:t>
      </w:r>
      <w:r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4BF41BA1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over</w:t>
      </w:r>
      <w:r w:rsidRPr="1E7F5C15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5A207E95" w:rsidRPr="1E7F5C15">
        <w:t>four</w:t>
      </w:r>
      <w:r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months. Diet quality was </w:t>
      </w:r>
      <w:r w:rsidR="6043F436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assessed </w:t>
      </w:r>
      <w:r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using Healthy Eating Index for Australian Adults (HEIFA; score = 0-100</w:t>
      </w:r>
      <w:r w:rsidR="6B65E061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(where higher = higher diet quality)</w:t>
      </w:r>
      <w:r w:rsidR="0FF9AE68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; Roy et al., </w:t>
      </w:r>
      <w:r w:rsidR="0FF9AE68" w:rsidRPr="3DE40EDD"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</w:rPr>
        <w:t>Nutrition</w:t>
      </w:r>
      <w:r w:rsidR="0FF9AE68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2016</w:t>
      </w:r>
      <w:r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)</w:t>
      </w:r>
      <w:r w:rsidR="00AA55BD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="71D22DE2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from 5-days of food records collected at baseline and 6-months</w:t>
      </w:r>
      <w:r w:rsidR="5D382663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. Statistical analyses </w:t>
      </w:r>
      <w:r w:rsidR="77538F86" w:rsidRPr="1E7F5C1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were</w:t>
      </w:r>
      <w:r w:rsidR="5D382663" w:rsidRPr="238E2C6A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performed </w:t>
      </w:r>
      <w:r w:rsidRPr="238E2C6A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using linear mixed models.</w:t>
      </w:r>
    </w:p>
    <w:p w14:paraId="633429DC" w14:textId="5B3C1CA9" w:rsidR="0071163F" w:rsidRPr="00872EB5" w:rsidRDefault="0071163F" w:rsidP="007116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72EB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r w:rsidRPr="00872EB5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36D867" w14:textId="5639CE5E" w:rsidR="0071163F" w:rsidRPr="00A2669D" w:rsidRDefault="4B23FAD3" w:rsidP="1E7F5C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 xml:space="preserve">Results: </w:t>
      </w:r>
      <w:r w:rsidR="0A122F6E"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A</w:t>
      </w:r>
      <w:r w:rsidR="0A122F6E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verage t</w:t>
      </w:r>
      <w:r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otal HEIFA score did not improve in either group (TRE: baseline: 50 ± 9, 6 mo.: 48 ± 9; DIET: baseline: 49 ± 10, 6 mo.: 50 ± 8), but 29% of TRE and 45% of DIET participants improved total HEIFA scores. A main effect of </w:t>
      </w:r>
      <w:r w:rsidR="717F2C0F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intervention </w:t>
      </w:r>
      <w:r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(p=0.04) and a trend for </w:t>
      </w:r>
      <w:r w:rsidR="3DCBCB66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an</w:t>
      </w:r>
      <w:r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</w:t>
      </w:r>
      <w:r w:rsidR="0B324B6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intervention </w:t>
      </w:r>
      <w:r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× time effect (p=0.08) was observed for vegetable serves</w:t>
      </w:r>
      <w:r w:rsidR="6F7594F1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, where t</w:t>
      </w:r>
      <w:r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he DIET group </w:t>
      </w:r>
      <w:r w:rsidR="312002EC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had higher vegetable consumption and </w:t>
      </w:r>
      <w:r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maintained their vegetable intake (serve, Δ=-0.1 ± 2.1) from baseline to 6 months. </w:t>
      </w:r>
    </w:p>
    <w:p w14:paraId="294D0D02" w14:textId="77777777" w:rsidR="003200F6" w:rsidRPr="00872EB5" w:rsidRDefault="003200F6" w:rsidP="007116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A18CE72" w14:textId="7C92BEEE" w:rsidR="0071163F" w:rsidRPr="00872EB5" w:rsidRDefault="4B23FAD3" w:rsidP="3DE40ED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Conclusion</w:t>
      </w:r>
      <w:r w:rsidR="19096DBA"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>s</w:t>
      </w:r>
      <w:r w:rsidRPr="3DE40EDD">
        <w:rPr>
          <w:rStyle w:val="normaltextrun"/>
          <w:rFonts w:ascii="Arial" w:eastAsiaTheme="majorEastAsia" w:hAnsi="Arial" w:cs="Arial"/>
          <w:i/>
          <w:iCs/>
          <w:color w:val="000000" w:themeColor="text1"/>
          <w:sz w:val="22"/>
          <w:szCs w:val="22"/>
        </w:rPr>
        <w:t xml:space="preserve">: </w:t>
      </w:r>
      <w:r w:rsidR="1E8DDC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Despite only being provided diet timing advice, </w:t>
      </w:r>
      <w:r w:rsidR="00F25828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29%</w:t>
      </w:r>
      <w:r w:rsidR="1E8DDC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of TRE participants, with </w:t>
      </w:r>
      <w:r w:rsidR="00F25828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~45% </w:t>
      </w:r>
      <w:r w:rsidR="1E8DDC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of those receiving individualised dietetic advice</w:t>
      </w:r>
      <w:r w:rsidR="00F25828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, </w:t>
      </w:r>
      <w:r w:rsidR="00F25828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improv</w:t>
      </w:r>
      <w:r w:rsidR="00F25828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ing</w:t>
      </w:r>
      <w:r w:rsidR="00F25828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diet quality</w:t>
      </w:r>
      <w:r w:rsidR="1E8DDC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. These findings suggest the need for increased support to facilitate greater dietary behavioural change in individuals with T2DM. As TRE was not detrimental to diet quality, </w:t>
      </w:r>
      <w:r w:rsidR="003E66C1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TRE</w:t>
      </w:r>
      <w:r w:rsidR="1E8DDC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 could be used as an initial strategy prior to </w:t>
      </w:r>
      <w:r w:rsidR="00F25828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 xml:space="preserve">incorporating </w:t>
      </w:r>
      <w:r w:rsidR="1E8DDCD3" w:rsidRPr="3DE40EDD">
        <w:rPr>
          <w:rStyle w:val="normaltextrun"/>
          <w:rFonts w:ascii="Arial" w:eastAsiaTheme="majorEastAsia" w:hAnsi="Arial" w:cs="Arial"/>
          <w:color w:val="000000" w:themeColor="text1"/>
          <w:sz w:val="22"/>
          <w:szCs w:val="22"/>
        </w:rPr>
        <w:t>intentional dietetic advice</w:t>
      </w:r>
      <w:r w:rsidR="77538F86" w:rsidRPr="3DE40EDD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.</w:t>
      </w:r>
    </w:p>
    <w:p w14:paraId="61C481CB" w14:textId="77777777" w:rsidR="00052F1A" w:rsidRPr="00872EB5" w:rsidRDefault="00052F1A">
      <w:pPr>
        <w:rPr>
          <w:rFonts w:ascii="Arial" w:hAnsi="Arial" w:cs="Arial"/>
          <w:sz w:val="22"/>
          <w:szCs w:val="22"/>
        </w:rPr>
      </w:pPr>
    </w:p>
    <w:p w14:paraId="0C2FD172" w14:textId="31C4938D" w:rsidR="3DE40EDD" w:rsidRDefault="3DE40EDD" w:rsidP="3DE40EDD">
      <w:pPr>
        <w:pStyle w:val="paragraph"/>
        <w:rPr>
          <w:rFonts w:ascii="Arial" w:hAnsi="Arial" w:cs="Arial"/>
          <w:sz w:val="22"/>
          <w:szCs w:val="22"/>
        </w:rPr>
      </w:pPr>
    </w:p>
    <w:sectPr w:rsidR="3DE4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17"/>
    <w:rsid w:val="00042264"/>
    <w:rsid w:val="00052F1A"/>
    <w:rsid w:val="00150E9C"/>
    <w:rsid w:val="001B2C71"/>
    <w:rsid w:val="00273929"/>
    <w:rsid w:val="00293D8A"/>
    <w:rsid w:val="002D3C7B"/>
    <w:rsid w:val="003012C5"/>
    <w:rsid w:val="003200F6"/>
    <w:rsid w:val="003E66C1"/>
    <w:rsid w:val="00492734"/>
    <w:rsid w:val="004B4F23"/>
    <w:rsid w:val="005152EE"/>
    <w:rsid w:val="005325DC"/>
    <w:rsid w:val="006166C8"/>
    <w:rsid w:val="00647A06"/>
    <w:rsid w:val="006506FD"/>
    <w:rsid w:val="00676230"/>
    <w:rsid w:val="0071163F"/>
    <w:rsid w:val="00810910"/>
    <w:rsid w:val="008119CE"/>
    <w:rsid w:val="00815657"/>
    <w:rsid w:val="008368DD"/>
    <w:rsid w:val="00872EB5"/>
    <w:rsid w:val="008B86CB"/>
    <w:rsid w:val="008D1CF5"/>
    <w:rsid w:val="00974656"/>
    <w:rsid w:val="00974D1E"/>
    <w:rsid w:val="00A2669D"/>
    <w:rsid w:val="00A52244"/>
    <w:rsid w:val="00AA55BD"/>
    <w:rsid w:val="00AC7835"/>
    <w:rsid w:val="00AE3206"/>
    <w:rsid w:val="00AF0480"/>
    <w:rsid w:val="00B051B2"/>
    <w:rsid w:val="00B1A47F"/>
    <w:rsid w:val="00B30017"/>
    <w:rsid w:val="00B751EE"/>
    <w:rsid w:val="00BB3A64"/>
    <w:rsid w:val="00BD6315"/>
    <w:rsid w:val="00C11C33"/>
    <w:rsid w:val="00C33DA4"/>
    <w:rsid w:val="00C63557"/>
    <w:rsid w:val="00C91938"/>
    <w:rsid w:val="00CC535F"/>
    <w:rsid w:val="00CE0567"/>
    <w:rsid w:val="00D65E71"/>
    <w:rsid w:val="00D90899"/>
    <w:rsid w:val="00D96DAE"/>
    <w:rsid w:val="00F25828"/>
    <w:rsid w:val="00F50AA9"/>
    <w:rsid w:val="00FC01C2"/>
    <w:rsid w:val="030050E9"/>
    <w:rsid w:val="03862039"/>
    <w:rsid w:val="04C08433"/>
    <w:rsid w:val="0518B9C9"/>
    <w:rsid w:val="05DDAD31"/>
    <w:rsid w:val="0A122F6E"/>
    <w:rsid w:val="0AA105D1"/>
    <w:rsid w:val="0AC9D552"/>
    <w:rsid w:val="0B324B63"/>
    <w:rsid w:val="0C0CDA24"/>
    <w:rsid w:val="0FF9AE68"/>
    <w:rsid w:val="1077A07D"/>
    <w:rsid w:val="118E5125"/>
    <w:rsid w:val="124009AD"/>
    <w:rsid w:val="133FD564"/>
    <w:rsid w:val="144A4B43"/>
    <w:rsid w:val="15569281"/>
    <w:rsid w:val="15CDF455"/>
    <w:rsid w:val="162604BC"/>
    <w:rsid w:val="17884998"/>
    <w:rsid w:val="17D376C7"/>
    <w:rsid w:val="17F61575"/>
    <w:rsid w:val="19096DBA"/>
    <w:rsid w:val="1A740F9C"/>
    <w:rsid w:val="1C0B5555"/>
    <w:rsid w:val="1C2AB5F3"/>
    <w:rsid w:val="1CA33FC6"/>
    <w:rsid w:val="1E7F5C15"/>
    <w:rsid w:val="1E8DDCD3"/>
    <w:rsid w:val="223946EE"/>
    <w:rsid w:val="224B2031"/>
    <w:rsid w:val="238E2C6A"/>
    <w:rsid w:val="25A04275"/>
    <w:rsid w:val="2785C855"/>
    <w:rsid w:val="2794914A"/>
    <w:rsid w:val="2971F5D2"/>
    <w:rsid w:val="29ECB142"/>
    <w:rsid w:val="2A5F9F90"/>
    <w:rsid w:val="2AF778DF"/>
    <w:rsid w:val="2C09266A"/>
    <w:rsid w:val="2C4FEF25"/>
    <w:rsid w:val="2D7DBE41"/>
    <w:rsid w:val="2DCA0F71"/>
    <w:rsid w:val="2F851D75"/>
    <w:rsid w:val="2FD7587B"/>
    <w:rsid w:val="312002EC"/>
    <w:rsid w:val="31B32C7A"/>
    <w:rsid w:val="31C21635"/>
    <w:rsid w:val="32B7E8EE"/>
    <w:rsid w:val="32B9B08F"/>
    <w:rsid w:val="33250FE6"/>
    <w:rsid w:val="33AB75D0"/>
    <w:rsid w:val="34A5F57D"/>
    <w:rsid w:val="35B62A94"/>
    <w:rsid w:val="36541216"/>
    <w:rsid w:val="374178CA"/>
    <w:rsid w:val="3A3FC372"/>
    <w:rsid w:val="3C73CA3E"/>
    <w:rsid w:val="3CED3A02"/>
    <w:rsid w:val="3D78A5A5"/>
    <w:rsid w:val="3DCBCB66"/>
    <w:rsid w:val="3DE40EDD"/>
    <w:rsid w:val="401279BB"/>
    <w:rsid w:val="44B5ED3A"/>
    <w:rsid w:val="45CD1961"/>
    <w:rsid w:val="46669357"/>
    <w:rsid w:val="4771A43D"/>
    <w:rsid w:val="47CE6F2E"/>
    <w:rsid w:val="4B23FAD3"/>
    <w:rsid w:val="4BF41BA1"/>
    <w:rsid w:val="4CB8999B"/>
    <w:rsid w:val="4EB2FB2D"/>
    <w:rsid w:val="5016994E"/>
    <w:rsid w:val="501F5738"/>
    <w:rsid w:val="5068168C"/>
    <w:rsid w:val="51866B1F"/>
    <w:rsid w:val="530D57B7"/>
    <w:rsid w:val="5450B327"/>
    <w:rsid w:val="545E8F2E"/>
    <w:rsid w:val="54D453CE"/>
    <w:rsid w:val="55B6DD61"/>
    <w:rsid w:val="55D5AE41"/>
    <w:rsid w:val="57BE1A7A"/>
    <w:rsid w:val="58E51C3D"/>
    <w:rsid w:val="5A207E95"/>
    <w:rsid w:val="5A553671"/>
    <w:rsid w:val="5B3A9ABD"/>
    <w:rsid w:val="5B8C4509"/>
    <w:rsid w:val="5BAF9333"/>
    <w:rsid w:val="5CA81902"/>
    <w:rsid w:val="5D382663"/>
    <w:rsid w:val="5D3A8D69"/>
    <w:rsid w:val="5E6580F9"/>
    <w:rsid w:val="5E7735F3"/>
    <w:rsid w:val="5F0B20C2"/>
    <w:rsid w:val="5F1BF2FC"/>
    <w:rsid w:val="600B8005"/>
    <w:rsid w:val="6043F436"/>
    <w:rsid w:val="60C26ED9"/>
    <w:rsid w:val="62979439"/>
    <w:rsid w:val="63C76E63"/>
    <w:rsid w:val="64D3CB98"/>
    <w:rsid w:val="66033E3D"/>
    <w:rsid w:val="662D19A0"/>
    <w:rsid w:val="665AD4BC"/>
    <w:rsid w:val="69097BF0"/>
    <w:rsid w:val="696B4630"/>
    <w:rsid w:val="69DDC787"/>
    <w:rsid w:val="6B37CA2B"/>
    <w:rsid w:val="6B65E061"/>
    <w:rsid w:val="6D6326CE"/>
    <w:rsid w:val="6F7594F1"/>
    <w:rsid w:val="6FEF501F"/>
    <w:rsid w:val="70B23518"/>
    <w:rsid w:val="70E18B72"/>
    <w:rsid w:val="717F2C0F"/>
    <w:rsid w:val="71927AE0"/>
    <w:rsid w:val="71D22DE2"/>
    <w:rsid w:val="77538F86"/>
    <w:rsid w:val="78178385"/>
    <w:rsid w:val="782D6F23"/>
    <w:rsid w:val="7CF137B6"/>
    <w:rsid w:val="7D14DCA6"/>
    <w:rsid w:val="7D6A441C"/>
    <w:rsid w:val="7D7F0E7A"/>
    <w:rsid w:val="7E07A3E2"/>
    <w:rsid w:val="7E822A8C"/>
    <w:rsid w:val="7F1B00D6"/>
    <w:rsid w:val="7FB4B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291F"/>
  <w15:chartTrackingRefBased/>
  <w15:docId w15:val="{51EB6697-DD59-43DD-93F4-9E1B96F6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01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116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1163F"/>
  </w:style>
  <w:style w:type="character" w:customStyle="1" w:styleId="eop">
    <w:name w:val="eop"/>
    <w:basedOn w:val="DefaultParagraphFont"/>
    <w:rsid w:val="0071163F"/>
  </w:style>
  <w:style w:type="paragraph" w:styleId="NormalWeb">
    <w:name w:val="Normal (Web)"/>
    <w:basedOn w:val="Normal"/>
    <w:uiPriority w:val="99"/>
    <w:semiHidden/>
    <w:unhideWhenUsed/>
    <w:rsid w:val="00872E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72EB5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7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C672-629B-4909-9981-690D97505E04}">
  <ds:schemaRefs>
    <ds:schemaRef ds:uri="http://schemas.microsoft.com/office/infopath/2007/PartnerControls"/>
    <ds:schemaRef ds:uri="6911e96c-4cc4-42d5-8e43-f93924cf6a05"/>
    <ds:schemaRef ds:uri="cab52c9b-ab33-4221-8af9-54f8f2b86a8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C23ACC-6380-4D97-A87E-778260718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6765B-BF24-4EE6-800B-799511EB3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Parr</dc:creator>
  <cp:keywords/>
  <dc:description/>
  <cp:lastModifiedBy>Kelly Borja</cp:lastModifiedBy>
  <cp:revision>2</cp:revision>
  <dcterms:created xsi:type="dcterms:W3CDTF">2025-05-28T02:22:00Z</dcterms:created>
  <dcterms:modified xsi:type="dcterms:W3CDTF">2025-05-28T02:22:00Z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