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8"/>
      </w:tblGrid>
      <w:tr w:rsidR="001564A4" w:rsidRPr="0050053A" w14:paraId="5C38377B" w14:textId="77777777" w:rsidTr="00C37089">
        <w:trPr>
          <w:trHeight w:val="558"/>
          <w:jc w:val="center"/>
        </w:trPr>
        <w:tc>
          <w:tcPr>
            <w:tcW w:w="8798" w:type="dxa"/>
            <w:shd w:val="clear" w:color="auto" w:fill="auto"/>
          </w:tcPr>
          <w:p w14:paraId="5C44F357" w14:textId="58B9F136" w:rsidR="001564A4" w:rsidRPr="0050053A" w:rsidRDefault="006D20A9" w:rsidP="000A28E2">
            <w:pPr>
              <w:spacing w:before="120" w:after="120"/>
              <w:rPr>
                <w:rFonts w:ascii="Arial" w:hAnsi="Arial" w:cs="Arial"/>
                <w:b/>
                <w:sz w:val="22"/>
                <w:szCs w:val="22"/>
                <w:lang w:val="en-US" w:eastAsia="zh-CN"/>
              </w:rPr>
            </w:pPr>
            <w:r>
              <w:rPr>
                <w:rFonts w:ascii="Arial" w:hAnsi="Arial" w:cs="Arial"/>
                <w:b/>
                <w:sz w:val="22"/>
                <w:szCs w:val="22"/>
                <w:lang w:val="en-US" w:eastAsia="en-GB"/>
              </w:rPr>
              <w:t>Unlocking the potential of longitudinal pharmacy dispensing records: a focus on adherence and determinants</w:t>
            </w:r>
          </w:p>
        </w:tc>
      </w:tr>
      <w:tr w:rsidR="001564A4" w:rsidRPr="0050053A" w14:paraId="0E2E035C" w14:textId="77777777" w:rsidTr="00484083">
        <w:trPr>
          <w:trHeight w:val="760"/>
          <w:jc w:val="center"/>
        </w:trPr>
        <w:tc>
          <w:tcPr>
            <w:tcW w:w="8798" w:type="dxa"/>
            <w:shd w:val="clear" w:color="auto" w:fill="auto"/>
          </w:tcPr>
          <w:p w14:paraId="73B55295" w14:textId="510F3692" w:rsidR="001564A4" w:rsidRPr="001B2CAA" w:rsidRDefault="00211963" w:rsidP="000A28E2">
            <w:pPr>
              <w:spacing w:before="120" w:after="120"/>
              <w:rPr>
                <w:rFonts w:ascii="Arial" w:hAnsi="Arial" w:cs="Arial"/>
                <w:sz w:val="22"/>
                <w:szCs w:val="22"/>
                <w:u w:val="single"/>
                <w:lang w:eastAsia="zh-CN"/>
              </w:rPr>
            </w:pPr>
            <w:proofErr w:type="spellStart"/>
            <w:r w:rsidRPr="001B2CAA">
              <w:rPr>
                <w:rFonts w:ascii="Arial" w:hAnsi="Arial" w:cs="Arial"/>
                <w:sz w:val="22"/>
                <w:szCs w:val="22"/>
                <w:lang w:val="en-US" w:eastAsia="en-GB"/>
              </w:rPr>
              <w:t>Sinthia</w:t>
            </w:r>
            <w:proofErr w:type="spellEnd"/>
            <w:r w:rsidRPr="001B2CAA">
              <w:rPr>
                <w:rFonts w:ascii="Arial" w:hAnsi="Arial" w:cs="Arial"/>
                <w:sz w:val="22"/>
                <w:szCs w:val="22"/>
                <w:lang w:val="en-US" w:eastAsia="en-GB"/>
              </w:rPr>
              <w:t xml:space="preserve"> Bosnic-Anticevich</w:t>
            </w:r>
            <w:r w:rsidRPr="001B2CAA">
              <w:rPr>
                <w:rFonts w:ascii="Arial" w:hAnsi="Arial" w:cs="Arial"/>
                <w:sz w:val="22"/>
                <w:szCs w:val="22"/>
                <w:vertAlign w:val="superscript"/>
                <w:lang w:val="en-US" w:eastAsia="en-GB"/>
              </w:rPr>
              <w:t>1</w:t>
            </w:r>
            <w:r w:rsidR="001B2CAA" w:rsidRPr="001B2CAA">
              <w:rPr>
                <w:rFonts w:ascii="Arial" w:hAnsi="Arial" w:cs="Arial"/>
                <w:sz w:val="22"/>
                <w:szCs w:val="22"/>
                <w:vertAlign w:val="superscript"/>
                <w:lang w:val="en-US" w:eastAsia="en-GB"/>
              </w:rPr>
              <w:t>,2</w:t>
            </w:r>
            <w:r w:rsidRPr="001B2CAA">
              <w:rPr>
                <w:rFonts w:ascii="Arial" w:hAnsi="Arial" w:cs="Arial"/>
                <w:sz w:val="22"/>
                <w:szCs w:val="22"/>
                <w:lang w:val="en-US" w:eastAsia="en-GB"/>
              </w:rPr>
              <w:t xml:space="preserve">, </w:t>
            </w:r>
            <w:r w:rsidR="00610C47" w:rsidRPr="001B2CAA">
              <w:rPr>
                <w:rFonts w:ascii="Arial" w:hAnsi="Arial" w:cs="Arial"/>
                <w:sz w:val="22"/>
                <w:szCs w:val="22"/>
                <w:lang w:val="en-US" w:eastAsia="en-GB"/>
              </w:rPr>
              <w:t>Biljana Cvetkovski</w:t>
            </w:r>
            <w:r w:rsidR="00E64B7C" w:rsidRPr="001B2CAA">
              <w:rPr>
                <w:rFonts w:ascii="Arial" w:hAnsi="Arial" w:cs="Arial"/>
                <w:sz w:val="22"/>
                <w:szCs w:val="22"/>
                <w:vertAlign w:val="superscript"/>
                <w:lang w:val="en-US" w:eastAsia="en-GB"/>
              </w:rPr>
              <w:t>1,</w:t>
            </w:r>
            <w:proofErr w:type="gramStart"/>
            <w:r w:rsidR="001564A4" w:rsidRPr="001B2CAA">
              <w:rPr>
                <w:rFonts w:ascii="Arial" w:hAnsi="Arial" w:cs="Arial"/>
                <w:sz w:val="22"/>
                <w:szCs w:val="22"/>
                <w:vertAlign w:val="superscript"/>
                <w:lang w:val="en-US" w:eastAsia="en-GB"/>
              </w:rPr>
              <w:t>2</w:t>
            </w:r>
            <w:r w:rsidR="001564A4" w:rsidRPr="001B2CAA">
              <w:rPr>
                <w:rFonts w:ascii="Arial" w:hAnsi="Arial" w:cs="Arial"/>
                <w:sz w:val="22"/>
                <w:szCs w:val="22"/>
                <w:lang w:val="en-US" w:eastAsia="en-GB"/>
              </w:rPr>
              <w:t>,</w:t>
            </w:r>
            <w:r w:rsidR="00610C47" w:rsidRPr="001B2CAA">
              <w:rPr>
                <w:rFonts w:ascii="Arial" w:hAnsi="Arial" w:cs="Arial"/>
                <w:sz w:val="22"/>
                <w:szCs w:val="22"/>
                <w:lang w:val="en-US" w:eastAsia="en-GB"/>
              </w:rPr>
              <w:t>Rachel</w:t>
            </w:r>
            <w:proofErr w:type="gramEnd"/>
            <w:r w:rsidR="00610C47" w:rsidRPr="001B2CAA">
              <w:rPr>
                <w:rFonts w:ascii="Arial" w:hAnsi="Arial" w:cs="Arial"/>
                <w:sz w:val="22"/>
                <w:szCs w:val="22"/>
                <w:lang w:val="en-US" w:eastAsia="en-GB"/>
              </w:rPr>
              <w:t xml:space="preserve"> House</w:t>
            </w:r>
            <w:r w:rsidR="00E64B7C" w:rsidRPr="001B2CAA">
              <w:rPr>
                <w:rFonts w:ascii="Arial" w:hAnsi="Arial" w:cs="Arial"/>
                <w:sz w:val="22"/>
                <w:szCs w:val="22"/>
                <w:vertAlign w:val="superscript"/>
                <w:lang w:val="en-US" w:eastAsia="en-GB"/>
              </w:rPr>
              <w:t>1,2</w:t>
            </w:r>
            <w:r w:rsidR="001564A4" w:rsidRPr="001B2CAA">
              <w:rPr>
                <w:rFonts w:ascii="Arial" w:hAnsi="Arial" w:cs="Arial"/>
                <w:sz w:val="22"/>
                <w:szCs w:val="22"/>
                <w:lang w:val="en-US" w:eastAsia="en-GB"/>
              </w:rPr>
              <w:t>,</w:t>
            </w:r>
            <w:r w:rsidR="00610C47" w:rsidRPr="001B2CAA">
              <w:rPr>
                <w:rFonts w:ascii="Arial" w:hAnsi="Arial" w:cs="Arial"/>
                <w:sz w:val="22"/>
                <w:szCs w:val="22"/>
                <w:lang w:val="en-US" w:eastAsia="en-GB"/>
              </w:rPr>
              <w:t>Katherine Borg</w:t>
            </w:r>
            <w:r w:rsidR="00E64B7C" w:rsidRPr="001B2CAA">
              <w:rPr>
                <w:rFonts w:ascii="Arial" w:hAnsi="Arial" w:cs="Arial"/>
                <w:sz w:val="22"/>
                <w:szCs w:val="22"/>
                <w:vertAlign w:val="superscript"/>
                <w:lang w:val="en-US" w:eastAsia="en-GB"/>
              </w:rPr>
              <w:t>1</w:t>
            </w:r>
            <w:r w:rsidR="001564A4" w:rsidRPr="001B2CAA">
              <w:rPr>
                <w:rFonts w:ascii="Arial" w:hAnsi="Arial" w:cs="Arial"/>
                <w:sz w:val="22"/>
                <w:szCs w:val="22"/>
                <w:lang w:val="en-US" w:eastAsia="en-GB"/>
              </w:rPr>
              <w:t>,</w:t>
            </w:r>
            <w:r w:rsidR="001B2CAA" w:rsidRPr="001B2CAA">
              <w:rPr>
                <w:rFonts w:ascii="Arial" w:hAnsi="Arial" w:cs="Arial"/>
                <w:sz w:val="22"/>
                <w:szCs w:val="22"/>
                <w:lang w:val="en-US" w:eastAsia="en-GB"/>
              </w:rPr>
              <w:t xml:space="preserve"> </w:t>
            </w:r>
            <w:r w:rsidR="001B2CAA" w:rsidRPr="001B2CAA">
              <w:rPr>
                <w:rFonts w:ascii="Arial" w:hAnsi="Arial" w:cs="Arial"/>
                <w:sz w:val="22"/>
                <w:szCs w:val="22"/>
                <w:lang w:val="en-US"/>
              </w:rPr>
              <w:t>Mike De Gama</w:t>
            </w:r>
            <w:r w:rsidR="001B2CAA" w:rsidRPr="001B2CAA">
              <w:rPr>
                <w:rFonts w:ascii="Arial" w:hAnsi="Arial" w:cs="Arial"/>
                <w:sz w:val="22"/>
                <w:szCs w:val="22"/>
                <w:vertAlign w:val="superscript"/>
                <w:lang w:val="en-US"/>
              </w:rPr>
              <w:t>3</w:t>
            </w:r>
            <w:r w:rsidR="001B2CAA" w:rsidRPr="001B2CAA">
              <w:rPr>
                <w:rFonts w:ascii="Arial" w:hAnsi="Arial" w:cs="Arial"/>
                <w:sz w:val="22"/>
                <w:szCs w:val="22"/>
                <w:lang w:val="en-US"/>
              </w:rPr>
              <w:t>, Marius Mather</w:t>
            </w:r>
            <w:r w:rsidR="001B2CAA" w:rsidRPr="001B2CAA">
              <w:rPr>
                <w:rFonts w:ascii="Arial" w:hAnsi="Arial" w:cs="Arial"/>
                <w:sz w:val="22"/>
                <w:szCs w:val="22"/>
                <w:vertAlign w:val="superscript"/>
                <w:lang w:val="en-US"/>
              </w:rPr>
              <w:t>4</w:t>
            </w:r>
            <w:r w:rsidR="001B2CAA">
              <w:rPr>
                <w:rFonts w:ascii="Arial" w:hAnsi="Arial" w:cs="Arial"/>
                <w:sz w:val="22"/>
                <w:szCs w:val="22"/>
                <w:lang w:val="en-US"/>
              </w:rPr>
              <w:t>.</w:t>
            </w:r>
          </w:p>
        </w:tc>
      </w:tr>
      <w:tr w:rsidR="001564A4" w:rsidRPr="0050053A" w14:paraId="385A19D9" w14:textId="77777777" w:rsidTr="00484083">
        <w:trPr>
          <w:trHeight w:val="140"/>
          <w:jc w:val="center"/>
        </w:trPr>
        <w:tc>
          <w:tcPr>
            <w:tcW w:w="8798" w:type="dxa"/>
            <w:shd w:val="clear" w:color="auto" w:fill="auto"/>
          </w:tcPr>
          <w:p w14:paraId="3BD815D8" w14:textId="3113E89B" w:rsidR="001564A4" w:rsidRPr="001B2CAA" w:rsidRDefault="00E64B7C" w:rsidP="001B2CAA">
            <w:pPr>
              <w:rPr>
                <w:rFonts w:ascii="Arial" w:hAnsi="Arial" w:cs="Arial"/>
                <w:i/>
                <w:sz w:val="22"/>
                <w:szCs w:val="22"/>
                <w:lang w:val="en-US" w:eastAsia="en-GB"/>
              </w:rPr>
            </w:pPr>
            <w:r w:rsidRPr="001B2CAA">
              <w:rPr>
                <w:rFonts w:ascii="Arial" w:hAnsi="Arial" w:cs="Arial"/>
                <w:i/>
                <w:sz w:val="22"/>
                <w:szCs w:val="22"/>
                <w:vertAlign w:val="superscript"/>
                <w:lang w:val="en-US" w:eastAsia="en-GB"/>
              </w:rPr>
              <w:t>1</w:t>
            </w:r>
            <w:r w:rsidRPr="001B2CAA">
              <w:rPr>
                <w:i/>
              </w:rPr>
              <w:t xml:space="preserve"> </w:t>
            </w:r>
            <w:r w:rsidRPr="001B2CAA">
              <w:rPr>
                <w:rFonts w:ascii="Arial" w:hAnsi="Arial" w:cs="Arial"/>
                <w:i/>
                <w:sz w:val="22"/>
                <w:szCs w:val="22"/>
                <w:lang w:val="en-US" w:eastAsia="en-GB"/>
              </w:rPr>
              <w:t>Quality Use of Research Medicines Group, Woolcock Institute of Medical Research</w:t>
            </w:r>
          </w:p>
          <w:p w14:paraId="2DF5C049" w14:textId="45E0EB91" w:rsidR="00E64B7C" w:rsidRPr="001B2CAA" w:rsidRDefault="00E64B7C" w:rsidP="001B2CAA">
            <w:pPr>
              <w:rPr>
                <w:rFonts w:ascii="Arial" w:hAnsi="Arial" w:cs="Arial"/>
                <w:i/>
                <w:sz w:val="22"/>
                <w:szCs w:val="22"/>
                <w:lang w:val="en-US" w:eastAsia="en-GB"/>
              </w:rPr>
            </w:pPr>
            <w:r w:rsidRPr="001B2CAA">
              <w:rPr>
                <w:rFonts w:ascii="Arial" w:hAnsi="Arial" w:cs="Arial"/>
                <w:i/>
                <w:sz w:val="22"/>
                <w:szCs w:val="22"/>
                <w:vertAlign w:val="superscript"/>
                <w:lang w:val="en-US" w:eastAsia="en-GB"/>
              </w:rPr>
              <w:t xml:space="preserve">2 </w:t>
            </w:r>
            <w:r w:rsidR="001B2CAA" w:rsidRPr="001B2CAA">
              <w:rPr>
                <w:rFonts w:ascii="Arial" w:hAnsi="Arial" w:cs="Arial"/>
                <w:i/>
                <w:sz w:val="22"/>
                <w:szCs w:val="22"/>
                <w:lang w:val="en-US" w:eastAsia="en-GB"/>
              </w:rPr>
              <w:t>Macquarie University</w:t>
            </w:r>
          </w:p>
          <w:p w14:paraId="45C42411" w14:textId="57E6A000" w:rsidR="001B2CAA" w:rsidRPr="001B2CAA" w:rsidRDefault="001B2CAA" w:rsidP="001B2CAA">
            <w:pPr>
              <w:jc w:val="both"/>
              <w:rPr>
                <w:rFonts w:ascii="Arial" w:hAnsi="Arial" w:cs="Arial"/>
                <w:i/>
                <w:sz w:val="22"/>
                <w:szCs w:val="22"/>
                <w:lang w:val="en-US"/>
              </w:rPr>
            </w:pPr>
            <w:r w:rsidRPr="001B2CAA">
              <w:rPr>
                <w:rFonts w:ascii="Arial" w:hAnsi="Arial" w:cs="Arial"/>
                <w:i/>
                <w:sz w:val="22"/>
                <w:szCs w:val="22"/>
                <w:vertAlign w:val="superscript"/>
                <w:lang w:val="en-US"/>
              </w:rPr>
              <w:t>3</w:t>
            </w:r>
            <w:r w:rsidRPr="001B2CAA">
              <w:rPr>
                <w:rFonts w:ascii="Arial" w:hAnsi="Arial" w:cs="Arial"/>
                <w:i/>
                <w:sz w:val="22"/>
                <w:szCs w:val="22"/>
                <w:lang w:val="en-US"/>
              </w:rPr>
              <w:t xml:space="preserve"> </w:t>
            </w:r>
            <w:proofErr w:type="spellStart"/>
            <w:r w:rsidRPr="001B2CAA">
              <w:rPr>
                <w:rFonts w:ascii="Arial" w:hAnsi="Arial" w:cs="Arial"/>
                <w:i/>
                <w:sz w:val="22"/>
                <w:szCs w:val="22"/>
                <w:lang w:val="en-US"/>
              </w:rPr>
              <w:t>Nostradata</w:t>
            </w:r>
            <w:proofErr w:type="spellEnd"/>
            <w:r w:rsidRPr="001B2CAA">
              <w:rPr>
                <w:rFonts w:ascii="Arial" w:hAnsi="Arial" w:cs="Arial"/>
                <w:i/>
                <w:sz w:val="22"/>
                <w:szCs w:val="22"/>
                <w:lang w:val="en-US"/>
              </w:rPr>
              <w:t>, Kew, VIC, Australia</w:t>
            </w:r>
          </w:p>
          <w:p w14:paraId="45ED36BF" w14:textId="11DB9DFB" w:rsidR="00E64B7C" w:rsidRPr="0050053A" w:rsidRDefault="001B2CAA" w:rsidP="00C37089">
            <w:pPr>
              <w:jc w:val="both"/>
              <w:rPr>
                <w:rFonts w:ascii="Arial" w:hAnsi="Arial" w:cs="Arial"/>
                <w:i/>
                <w:sz w:val="22"/>
                <w:szCs w:val="22"/>
                <w:lang w:val="en-US" w:eastAsia="en-GB"/>
              </w:rPr>
            </w:pPr>
            <w:r w:rsidRPr="001B2CAA">
              <w:rPr>
                <w:rFonts w:ascii="Arial" w:hAnsi="Arial" w:cs="Arial"/>
                <w:i/>
                <w:sz w:val="22"/>
                <w:szCs w:val="22"/>
                <w:vertAlign w:val="superscript"/>
                <w:lang w:val="en-US"/>
              </w:rPr>
              <w:t xml:space="preserve">4 </w:t>
            </w:r>
            <w:r w:rsidRPr="001B2CAA">
              <w:rPr>
                <w:rFonts w:ascii="Arial" w:hAnsi="Arial" w:cs="Arial"/>
                <w:i/>
                <w:sz w:val="22"/>
                <w:szCs w:val="22"/>
                <w:lang w:val="en-US"/>
              </w:rPr>
              <w:t>Sydney Informatics Hub, The University of Sydney, Camperdown, NSW, Australia</w:t>
            </w:r>
          </w:p>
        </w:tc>
      </w:tr>
      <w:tr w:rsidR="001564A4" w:rsidRPr="0050053A" w14:paraId="6DAF615A" w14:textId="77777777" w:rsidTr="00006232">
        <w:trPr>
          <w:trHeight w:hRule="exact" w:val="7287"/>
          <w:jc w:val="center"/>
        </w:trPr>
        <w:tc>
          <w:tcPr>
            <w:tcW w:w="8798" w:type="dxa"/>
            <w:shd w:val="clear" w:color="auto" w:fill="auto"/>
          </w:tcPr>
          <w:p w14:paraId="00A4444B" w14:textId="5720B58E" w:rsidR="00B81E04" w:rsidRPr="00687B5B" w:rsidRDefault="001564A4" w:rsidP="00687B5B">
            <w:pPr>
              <w:pStyle w:val="Default"/>
              <w:jc w:val="both"/>
              <w:rPr>
                <w:sz w:val="22"/>
                <w:szCs w:val="22"/>
              </w:rPr>
            </w:pPr>
            <w:r w:rsidRPr="00687B5B">
              <w:rPr>
                <w:rStyle w:val="A4"/>
                <w:b/>
                <w:bCs/>
              </w:rPr>
              <w:t xml:space="preserve">Introduction/Aim: </w:t>
            </w:r>
            <w:r w:rsidR="000542A9">
              <w:rPr>
                <w:sz w:val="22"/>
                <w:szCs w:val="22"/>
              </w:rPr>
              <w:t>P</w:t>
            </w:r>
            <w:r w:rsidR="00BC1A50" w:rsidRPr="00687B5B">
              <w:rPr>
                <w:sz w:val="22"/>
                <w:szCs w:val="22"/>
              </w:rPr>
              <w:t xml:space="preserve">eople with asthma are poorly adherent to their </w:t>
            </w:r>
            <w:r w:rsidR="00687B5B" w:rsidRPr="00687B5B">
              <w:rPr>
                <w:sz w:val="22"/>
                <w:szCs w:val="22"/>
              </w:rPr>
              <w:t>medication</w:t>
            </w:r>
            <w:r w:rsidR="00484083">
              <w:rPr>
                <w:sz w:val="22"/>
                <w:szCs w:val="22"/>
              </w:rPr>
              <w:t xml:space="preserve"> however</w:t>
            </w:r>
            <w:r w:rsidR="00740516">
              <w:rPr>
                <w:sz w:val="22"/>
                <w:szCs w:val="22"/>
              </w:rPr>
              <w:t xml:space="preserve"> no framework has been developed to </w:t>
            </w:r>
            <w:r w:rsidR="001A7280">
              <w:rPr>
                <w:sz w:val="22"/>
                <w:szCs w:val="22"/>
              </w:rPr>
              <w:t>maximise</w:t>
            </w:r>
            <w:r w:rsidR="00740516">
              <w:rPr>
                <w:sz w:val="22"/>
                <w:szCs w:val="22"/>
              </w:rPr>
              <w:t xml:space="preserve"> the </w:t>
            </w:r>
            <w:proofErr w:type="spellStart"/>
            <w:r w:rsidR="001A7280">
              <w:rPr>
                <w:sz w:val="22"/>
                <w:szCs w:val="22"/>
              </w:rPr>
              <w:t>was</w:t>
            </w:r>
            <w:proofErr w:type="spellEnd"/>
            <w:r w:rsidR="001A7280">
              <w:rPr>
                <w:sz w:val="22"/>
                <w:szCs w:val="22"/>
              </w:rPr>
              <w:t xml:space="preserve"> in which </w:t>
            </w:r>
            <w:r w:rsidR="00740516">
              <w:rPr>
                <w:sz w:val="22"/>
                <w:szCs w:val="22"/>
              </w:rPr>
              <w:t>pharmacy dispensing record</w:t>
            </w:r>
            <w:r w:rsidR="001A7280">
              <w:rPr>
                <w:sz w:val="22"/>
                <w:szCs w:val="22"/>
              </w:rPr>
              <w:t>s</w:t>
            </w:r>
            <w:r w:rsidR="00740516">
              <w:rPr>
                <w:sz w:val="22"/>
                <w:szCs w:val="22"/>
              </w:rPr>
              <w:t xml:space="preserve"> </w:t>
            </w:r>
            <w:r w:rsidR="001A7280">
              <w:rPr>
                <w:sz w:val="22"/>
                <w:szCs w:val="22"/>
              </w:rPr>
              <w:t>can</w:t>
            </w:r>
            <w:r w:rsidR="00740516">
              <w:rPr>
                <w:sz w:val="22"/>
                <w:szCs w:val="22"/>
              </w:rPr>
              <w:t xml:space="preserve"> explore patient adherence</w:t>
            </w:r>
            <w:r w:rsidR="00687B5B" w:rsidRPr="00687B5B">
              <w:rPr>
                <w:sz w:val="22"/>
                <w:szCs w:val="22"/>
              </w:rPr>
              <w:t xml:space="preserve">. </w:t>
            </w:r>
            <w:r w:rsidR="001B2CAA" w:rsidRPr="00687B5B">
              <w:rPr>
                <w:rStyle w:val="A4"/>
              </w:rPr>
              <w:t xml:space="preserve">This </w:t>
            </w:r>
            <w:r w:rsidR="001A7280">
              <w:rPr>
                <w:rStyle w:val="A4"/>
              </w:rPr>
              <w:t xml:space="preserve">exploratory </w:t>
            </w:r>
            <w:r w:rsidR="00810F8D" w:rsidRPr="00687B5B">
              <w:rPr>
                <w:rStyle w:val="A4"/>
              </w:rPr>
              <w:t xml:space="preserve">study </w:t>
            </w:r>
            <w:r w:rsidR="001B2CAA" w:rsidRPr="00687B5B">
              <w:rPr>
                <w:rStyle w:val="A4"/>
              </w:rPr>
              <w:t>aim</w:t>
            </w:r>
            <w:r w:rsidR="001A7280">
              <w:rPr>
                <w:rStyle w:val="A4"/>
              </w:rPr>
              <w:t>ed</w:t>
            </w:r>
            <w:r w:rsidR="001B2CAA" w:rsidRPr="00687B5B">
              <w:rPr>
                <w:rStyle w:val="A4"/>
              </w:rPr>
              <w:t xml:space="preserve"> to</w:t>
            </w:r>
            <w:r w:rsidR="00DB60B6" w:rsidRPr="00687B5B">
              <w:rPr>
                <w:rStyle w:val="A4"/>
              </w:rPr>
              <w:t xml:space="preserve"> </w:t>
            </w:r>
            <w:r w:rsidR="00687B5B" w:rsidRPr="00687B5B">
              <w:rPr>
                <w:rStyle w:val="A4"/>
              </w:rPr>
              <w:t xml:space="preserve">use the </w:t>
            </w:r>
            <w:r w:rsidR="00B84C97" w:rsidRPr="00687B5B">
              <w:rPr>
                <w:rStyle w:val="A4"/>
              </w:rPr>
              <w:t>pharmacy dispensing record</w:t>
            </w:r>
            <w:r w:rsidR="00DB6320" w:rsidRPr="00687B5B">
              <w:rPr>
                <w:rStyle w:val="A4"/>
              </w:rPr>
              <w:t>s</w:t>
            </w:r>
            <w:r w:rsidR="00687B5B" w:rsidRPr="00687B5B">
              <w:rPr>
                <w:rStyle w:val="A4"/>
              </w:rPr>
              <w:t xml:space="preserve"> to </w:t>
            </w:r>
            <w:r w:rsidR="001A7280">
              <w:rPr>
                <w:rStyle w:val="A4"/>
              </w:rPr>
              <w:t>identify the scope with which data</w:t>
            </w:r>
            <w:r w:rsidR="00687B5B" w:rsidRPr="00687B5B">
              <w:rPr>
                <w:rStyle w:val="A4"/>
              </w:rPr>
              <w:t xml:space="preserve"> </w:t>
            </w:r>
            <w:r w:rsidR="001A7280">
              <w:rPr>
                <w:sz w:val="22"/>
                <w:szCs w:val="22"/>
              </w:rPr>
              <w:t>associated with</w:t>
            </w:r>
            <w:r w:rsidR="00687B5B" w:rsidRPr="00687B5B">
              <w:rPr>
                <w:sz w:val="22"/>
                <w:szCs w:val="22"/>
              </w:rPr>
              <w:t xml:space="preserve"> patient adherence</w:t>
            </w:r>
            <w:r w:rsidR="001A7280">
              <w:rPr>
                <w:sz w:val="22"/>
                <w:szCs w:val="22"/>
              </w:rPr>
              <w:t xml:space="preserve"> </w:t>
            </w:r>
            <w:r w:rsidR="00687B5B" w:rsidRPr="00687B5B">
              <w:rPr>
                <w:sz w:val="22"/>
                <w:szCs w:val="22"/>
              </w:rPr>
              <w:t xml:space="preserve">pattens </w:t>
            </w:r>
            <w:r w:rsidR="001A7280">
              <w:rPr>
                <w:sz w:val="22"/>
                <w:szCs w:val="22"/>
              </w:rPr>
              <w:t xml:space="preserve">can be elicited from </w:t>
            </w:r>
            <w:proofErr w:type="spellStart"/>
            <w:r w:rsidR="001A7280">
              <w:rPr>
                <w:sz w:val="22"/>
                <w:szCs w:val="22"/>
              </w:rPr>
              <w:t>longitudnal</w:t>
            </w:r>
            <w:proofErr w:type="spellEnd"/>
            <w:r w:rsidR="00687B5B" w:rsidRPr="00687B5B">
              <w:rPr>
                <w:sz w:val="22"/>
                <w:szCs w:val="22"/>
              </w:rPr>
              <w:t xml:space="preserve"> dispensing record</w:t>
            </w:r>
            <w:r w:rsidR="001A7280">
              <w:rPr>
                <w:sz w:val="22"/>
                <w:szCs w:val="22"/>
              </w:rPr>
              <w:t>s</w:t>
            </w:r>
            <w:r w:rsidR="00687B5B" w:rsidRPr="00687B5B">
              <w:rPr>
                <w:sz w:val="22"/>
                <w:szCs w:val="22"/>
              </w:rPr>
              <w:t xml:space="preserve">. </w:t>
            </w:r>
          </w:p>
          <w:p w14:paraId="6C9335C9" w14:textId="27256751" w:rsidR="001B2CAA" w:rsidRPr="001B2CAA" w:rsidRDefault="001564A4" w:rsidP="001D19DD">
            <w:pPr>
              <w:pStyle w:val="Pa12"/>
              <w:jc w:val="both"/>
              <w:rPr>
                <w:rStyle w:val="A4"/>
                <w:lang w:val="en-GB"/>
              </w:rPr>
            </w:pPr>
            <w:r w:rsidRPr="001B2CAA">
              <w:rPr>
                <w:rStyle w:val="A4"/>
                <w:b/>
                <w:bCs/>
              </w:rPr>
              <w:t xml:space="preserve">Methods: </w:t>
            </w:r>
            <w:r w:rsidR="00687B5B">
              <w:rPr>
                <w:rStyle w:val="A4"/>
              </w:rPr>
              <w:t>This study explore</w:t>
            </w:r>
            <w:r w:rsidR="00484083">
              <w:rPr>
                <w:rStyle w:val="A4"/>
              </w:rPr>
              <w:t>d</w:t>
            </w:r>
            <w:r w:rsidR="00687B5B">
              <w:rPr>
                <w:rStyle w:val="A4"/>
              </w:rPr>
              <w:t xml:space="preserve"> </w:t>
            </w:r>
            <w:r w:rsidR="00437C07">
              <w:rPr>
                <w:rStyle w:val="A4"/>
              </w:rPr>
              <w:t>de-identified</w:t>
            </w:r>
            <w:r w:rsidR="001B2CAA" w:rsidRPr="001B2CAA">
              <w:rPr>
                <w:rStyle w:val="A4"/>
              </w:rPr>
              <w:t xml:space="preserve"> pharmacy dispensing </w:t>
            </w:r>
            <w:r w:rsidR="00687B5B">
              <w:rPr>
                <w:rStyle w:val="A4"/>
              </w:rPr>
              <w:t>records</w:t>
            </w:r>
            <w:r w:rsidR="001B2CAA" w:rsidRPr="001B2CAA">
              <w:rPr>
                <w:rStyle w:val="A4"/>
              </w:rPr>
              <w:t xml:space="preserve"> </w:t>
            </w:r>
            <w:r w:rsidR="00687B5B">
              <w:rPr>
                <w:rStyle w:val="A4"/>
              </w:rPr>
              <w:t xml:space="preserve">from </w:t>
            </w:r>
            <w:r w:rsidR="001B2CAA" w:rsidRPr="001B2CAA">
              <w:rPr>
                <w:rStyle w:val="A4"/>
              </w:rPr>
              <w:t>2011</w:t>
            </w:r>
            <w:r w:rsidR="00954267">
              <w:rPr>
                <w:rStyle w:val="A4"/>
              </w:rPr>
              <w:t>-</w:t>
            </w:r>
            <w:r w:rsidR="001B2CAA" w:rsidRPr="001B2CAA">
              <w:rPr>
                <w:rStyle w:val="A4"/>
              </w:rPr>
              <w:t>2019</w:t>
            </w:r>
            <w:r w:rsidR="00687B5B">
              <w:rPr>
                <w:rStyle w:val="A4"/>
              </w:rPr>
              <w:t xml:space="preserve"> in </w:t>
            </w:r>
            <w:proofErr w:type="spellStart"/>
            <w:r w:rsidR="001D19DD">
              <w:rPr>
                <w:rStyle w:val="A4"/>
              </w:rPr>
              <w:t>Nostradata</w:t>
            </w:r>
            <w:proofErr w:type="spellEnd"/>
            <w:r w:rsidR="001D19DD">
              <w:rPr>
                <w:rStyle w:val="A4"/>
              </w:rPr>
              <w:t xml:space="preserve"> </w:t>
            </w:r>
            <w:r w:rsidR="00687B5B">
              <w:rPr>
                <w:rStyle w:val="A4"/>
              </w:rPr>
              <w:t xml:space="preserve">(i.e., a database of  pharmacy </w:t>
            </w:r>
            <w:r w:rsidR="00687B5B" w:rsidRPr="001B2CAA">
              <w:rPr>
                <w:rStyle w:val="A4"/>
              </w:rPr>
              <w:t>dispensing records across different pharmaci</w:t>
            </w:r>
            <w:r w:rsidR="00687B5B">
              <w:rPr>
                <w:rStyle w:val="A4"/>
              </w:rPr>
              <w:t xml:space="preserve">es; </w:t>
            </w:r>
            <w:r w:rsidR="00687B5B" w:rsidRPr="001B2CAA">
              <w:rPr>
                <w:rStyle w:val="A4"/>
              </w:rPr>
              <w:t>cover</w:t>
            </w:r>
            <w:r w:rsidR="00687B5B">
              <w:rPr>
                <w:rStyle w:val="A4"/>
              </w:rPr>
              <w:t>ing</w:t>
            </w:r>
            <w:r w:rsidR="00687B5B" w:rsidRPr="001B2CAA">
              <w:rPr>
                <w:rStyle w:val="A4"/>
              </w:rPr>
              <w:t xml:space="preserve"> 80% of pharmacies nationally)</w:t>
            </w:r>
            <w:r w:rsidR="00687B5B">
              <w:rPr>
                <w:rStyle w:val="A4"/>
              </w:rPr>
              <w:t xml:space="preserve">. </w:t>
            </w:r>
            <w:r w:rsidR="00F9029C">
              <w:rPr>
                <w:rStyle w:val="A4"/>
              </w:rPr>
              <w:t>Records were included if</w:t>
            </w:r>
            <w:r w:rsidR="001B2CAA" w:rsidRPr="001B2CAA">
              <w:rPr>
                <w:rStyle w:val="A4"/>
              </w:rPr>
              <w:t xml:space="preserve"> an asthma/COPD medication</w:t>
            </w:r>
            <w:r w:rsidR="00F9029C">
              <w:rPr>
                <w:rStyle w:val="A4"/>
              </w:rPr>
              <w:t xml:space="preserve"> were dispensed </w:t>
            </w:r>
            <w:r w:rsidR="002A7414">
              <w:rPr>
                <w:rStyle w:val="A4"/>
              </w:rPr>
              <w:t xml:space="preserve">across </w:t>
            </w:r>
            <w:r w:rsidR="002A7414" w:rsidRPr="001B2CAA">
              <w:rPr>
                <w:rStyle w:val="A4"/>
              </w:rPr>
              <w:t xml:space="preserve">a minimum of </w:t>
            </w:r>
            <w:r w:rsidR="002A7414" w:rsidRPr="001B2CAA">
              <w:rPr>
                <w:color w:val="000000"/>
                <w:sz w:val="22"/>
                <w:szCs w:val="22"/>
                <w:lang w:val="en-GB"/>
              </w:rPr>
              <w:t>5 years</w:t>
            </w:r>
            <w:r w:rsidR="002A7414" w:rsidRPr="001B2CAA">
              <w:rPr>
                <w:rStyle w:val="A4"/>
              </w:rPr>
              <w:t xml:space="preserve"> </w:t>
            </w:r>
            <w:r w:rsidR="002879D2">
              <w:rPr>
                <w:rStyle w:val="A4"/>
              </w:rPr>
              <w:t>for an individual’s</w:t>
            </w:r>
            <w:r w:rsidR="002A7414" w:rsidRPr="00A9293D">
              <w:rPr>
                <w:rStyle w:val="A4"/>
              </w:rPr>
              <w:t xml:space="preserve"> dispensing record</w:t>
            </w:r>
            <w:r w:rsidR="001B2CAA" w:rsidRPr="001B2CAA">
              <w:rPr>
                <w:color w:val="000000"/>
                <w:sz w:val="22"/>
                <w:szCs w:val="22"/>
                <w:lang w:val="en-GB"/>
              </w:rPr>
              <w:t xml:space="preserve">. The data </w:t>
            </w:r>
            <w:r w:rsidR="002879D2">
              <w:rPr>
                <w:color w:val="000000"/>
                <w:sz w:val="22"/>
                <w:szCs w:val="22"/>
                <w:lang w:val="en-GB"/>
              </w:rPr>
              <w:t>analysed</w:t>
            </w:r>
            <w:r w:rsidR="002879D2" w:rsidRPr="001B2CAA">
              <w:rPr>
                <w:color w:val="000000"/>
                <w:sz w:val="22"/>
                <w:szCs w:val="22"/>
                <w:lang w:val="en-GB"/>
              </w:rPr>
              <w:t xml:space="preserve"> </w:t>
            </w:r>
            <w:r w:rsidR="001B2CAA" w:rsidRPr="001B2CAA">
              <w:rPr>
                <w:color w:val="000000"/>
                <w:sz w:val="22"/>
                <w:szCs w:val="22"/>
                <w:lang w:val="en-GB"/>
              </w:rPr>
              <w:t xml:space="preserve">includes </w:t>
            </w:r>
            <w:r w:rsidR="006055C9">
              <w:rPr>
                <w:color w:val="000000"/>
                <w:sz w:val="22"/>
                <w:szCs w:val="22"/>
                <w:lang w:val="en-GB"/>
              </w:rPr>
              <w:t xml:space="preserve">demographics, </w:t>
            </w:r>
            <w:r w:rsidR="00600107">
              <w:rPr>
                <w:color w:val="000000"/>
                <w:sz w:val="22"/>
                <w:szCs w:val="22"/>
                <w:lang w:val="en-GB"/>
              </w:rPr>
              <w:t>number of</w:t>
            </w:r>
            <w:r w:rsidR="001B2CAA" w:rsidRPr="001B2CAA">
              <w:rPr>
                <w:color w:val="000000"/>
                <w:sz w:val="22"/>
                <w:szCs w:val="22"/>
                <w:lang w:val="en-GB"/>
              </w:rPr>
              <w:t xml:space="preserve"> doses,</w:t>
            </w:r>
            <w:r w:rsidR="00600107">
              <w:rPr>
                <w:color w:val="000000"/>
                <w:sz w:val="22"/>
                <w:szCs w:val="22"/>
                <w:lang w:val="en-GB"/>
              </w:rPr>
              <w:t xml:space="preserve"> puffs per day,</w:t>
            </w:r>
            <w:r w:rsidR="001B2CAA" w:rsidRPr="001B2CAA">
              <w:rPr>
                <w:color w:val="000000"/>
                <w:sz w:val="22"/>
                <w:szCs w:val="22"/>
                <w:lang w:val="en-GB"/>
              </w:rPr>
              <w:t xml:space="preserve"> </w:t>
            </w:r>
            <w:proofErr w:type="gramStart"/>
            <w:r w:rsidR="001B2CAA" w:rsidRPr="001B2CAA">
              <w:rPr>
                <w:color w:val="000000"/>
                <w:sz w:val="22"/>
                <w:szCs w:val="22"/>
                <w:lang w:val="en-GB"/>
              </w:rPr>
              <w:t>brands</w:t>
            </w:r>
            <w:proofErr w:type="gramEnd"/>
            <w:r w:rsidR="001B2CAA" w:rsidRPr="001B2CAA">
              <w:rPr>
                <w:color w:val="000000"/>
                <w:sz w:val="22"/>
                <w:szCs w:val="22"/>
                <w:lang w:val="en-GB"/>
              </w:rPr>
              <w:t xml:space="preserve"> and dates of medication dispensing.</w:t>
            </w:r>
            <w:r w:rsidR="00B72D7C">
              <w:rPr>
                <w:color w:val="000000"/>
                <w:sz w:val="22"/>
                <w:szCs w:val="22"/>
                <w:lang w:val="en-GB"/>
              </w:rPr>
              <w:t xml:space="preserve"> </w:t>
            </w:r>
            <w:r w:rsidR="008F0070">
              <w:rPr>
                <w:color w:val="000000"/>
                <w:sz w:val="22"/>
                <w:szCs w:val="22"/>
                <w:lang w:val="en-GB"/>
              </w:rPr>
              <w:t>A</w:t>
            </w:r>
            <w:r w:rsidR="00B72D7C">
              <w:rPr>
                <w:color w:val="000000"/>
                <w:sz w:val="22"/>
                <w:szCs w:val="22"/>
                <w:lang w:val="en-GB"/>
              </w:rPr>
              <w:t xml:space="preserve">dherence </w:t>
            </w:r>
            <w:r w:rsidR="006804D9">
              <w:rPr>
                <w:color w:val="000000"/>
                <w:sz w:val="22"/>
                <w:szCs w:val="22"/>
                <w:lang w:val="en-GB"/>
              </w:rPr>
              <w:t xml:space="preserve">rate </w:t>
            </w:r>
            <w:r w:rsidR="006804D9" w:rsidRPr="00B8308D">
              <w:rPr>
                <w:rFonts w:ascii="Calibri" w:hAnsi="Calibri" w:cs="Calibri"/>
                <w:color w:val="000000"/>
                <w:sz w:val="22"/>
                <w:szCs w:val="22"/>
              </w:rPr>
              <w:t xml:space="preserve">=  </w:t>
            </w:r>
            <m:oMath>
              <m:f>
                <m:fPr>
                  <m:ctrlPr>
                    <w:rPr>
                      <w:rFonts w:ascii="Cambria Math" w:hAnsi="Cambria Math" w:cs="Calibri"/>
                      <w:i/>
                      <w:color w:val="000000"/>
                      <w:sz w:val="22"/>
                      <w:szCs w:val="22"/>
                    </w:rPr>
                  </m:ctrlPr>
                </m:fPr>
                <m:num>
                  <m:r>
                    <w:rPr>
                      <w:rFonts w:ascii="Cambria Math" w:hAnsi="Cambria Math" w:cs="Calibri"/>
                      <w:color w:val="000000"/>
                      <w:sz w:val="22"/>
                      <w:szCs w:val="22"/>
                    </w:rPr>
                    <m:t xml:space="preserve">number of days </m:t>
                  </m:r>
                  <m:r>
                    <w:rPr>
                      <w:rFonts w:ascii="Cambria Math" w:hAnsi="Cambria Math" w:cs="Calibri"/>
                      <w:color w:val="000000"/>
                      <w:sz w:val="22"/>
                      <w:szCs w:val="22"/>
                    </w:rPr>
                    <m:t xml:space="preserve">covered based on </m:t>
                  </m:r>
                  <m:r>
                    <w:rPr>
                      <w:rFonts w:ascii="Cambria Math" w:hAnsi="Cambria Math" w:cs="Calibri"/>
                      <w:color w:val="000000"/>
                      <w:sz w:val="22"/>
                      <w:szCs w:val="22"/>
                    </w:rPr>
                    <m:t xml:space="preserve"> inhalers were dispensed</m:t>
                  </m:r>
                </m:num>
                <m:den>
                  <m:r>
                    <w:rPr>
                      <w:rFonts w:ascii="Cambria Math" w:hAnsi="Cambria Math" w:cs="Calibri"/>
                      <w:color w:val="000000"/>
                      <w:sz w:val="22"/>
                      <w:szCs w:val="22"/>
                    </w:rPr>
                    <m:t xml:space="preserve">number of days from </m:t>
                  </m:r>
                  <m:r>
                    <w:rPr>
                      <w:rFonts w:ascii="Cambria Math" w:hAnsi="Cambria Math" w:cs="Calibri"/>
                      <w:color w:val="000000"/>
                      <w:sz w:val="22"/>
                      <w:szCs w:val="22"/>
                    </w:rPr>
                    <m:t>start to end date of inhalers dispensed</m:t>
                  </m:r>
                </m:den>
              </m:f>
            </m:oMath>
            <w:r w:rsidR="006804D9" w:rsidRPr="00B8308D">
              <w:rPr>
                <w:rFonts w:ascii="Calibri" w:hAnsi="Calibri" w:cs="Calibri"/>
                <w:color w:val="000000"/>
                <w:sz w:val="22"/>
                <w:szCs w:val="22"/>
              </w:rPr>
              <w:t xml:space="preserve"> </w:t>
            </w:r>
            <w:r w:rsidR="008F0070">
              <w:rPr>
                <w:rFonts w:ascii="Calibri" w:hAnsi="Calibri" w:cs="Calibri"/>
                <w:color w:val="000000"/>
                <w:sz w:val="22"/>
                <w:szCs w:val="22"/>
              </w:rPr>
              <w:t xml:space="preserve">for </w:t>
            </w:r>
            <w:r w:rsidR="006A7B28">
              <w:rPr>
                <w:rFonts w:ascii="Calibri" w:hAnsi="Calibri" w:cs="Calibri"/>
                <w:color w:val="000000"/>
                <w:sz w:val="22"/>
                <w:szCs w:val="22"/>
              </w:rPr>
              <w:t>each individual’s record</w:t>
            </w:r>
            <w:r w:rsidR="006804D9">
              <w:rPr>
                <w:rFonts w:ascii="Calibri" w:hAnsi="Calibri" w:cs="Calibri"/>
                <w:color w:val="000000"/>
                <w:sz w:val="22"/>
                <w:szCs w:val="22"/>
              </w:rPr>
              <w:t xml:space="preserve">. </w:t>
            </w:r>
            <w:r w:rsidR="00B16D5C">
              <w:rPr>
                <w:color w:val="000000"/>
                <w:sz w:val="22"/>
                <w:szCs w:val="22"/>
                <w:lang w:val="en-GB"/>
              </w:rPr>
              <w:t xml:space="preserve">The </w:t>
            </w:r>
            <w:r w:rsidR="00551947">
              <w:rPr>
                <w:color w:val="000000"/>
                <w:sz w:val="22"/>
                <w:szCs w:val="22"/>
                <w:lang w:val="en-GB"/>
              </w:rPr>
              <w:t>data were analysed descriptively and</w:t>
            </w:r>
            <w:r w:rsidR="009E4ACB">
              <w:rPr>
                <w:color w:val="000000"/>
                <w:sz w:val="22"/>
                <w:szCs w:val="22"/>
                <w:lang w:val="en-GB"/>
              </w:rPr>
              <w:t xml:space="preserve"> compared using Chi-square test</w:t>
            </w:r>
            <w:r w:rsidR="001B2CAA" w:rsidRPr="001B2CAA">
              <w:rPr>
                <w:color w:val="000000"/>
                <w:sz w:val="22"/>
                <w:szCs w:val="22"/>
                <w:lang w:val="en-GB"/>
              </w:rPr>
              <w:t>.</w:t>
            </w:r>
          </w:p>
          <w:p w14:paraId="16CF6C44" w14:textId="4809576B" w:rsidR="001B2CAA" w:rsidRPr="001B2CAA" w:rsidRDefault="001564A4" w:rsidP="001D19DD">
            <w:pPr>
              <w:pStyle w:val="Pa12"/>
              <w:jc w:val="both"/>
              <w:rPr>
                <w:rStyle w:val="A4"/>
              </w:rPr>
            </w:pPr>
            <w:r w:rsidRPr="001B2CAA">
              <w:rPr>
                <w:rStyle w:val="A4"/>
                <w:b/>
                <w:bCs/>
              </w:rPr>
              <w:t xml:space="preserve">Results: </w:t>
            </w:r>
            <w:r w:rsidR="00897A04">
              <w:rPr>
                <w:rStyle w:val="A4"/>
              </w:rPr>
              <w:t>Ten percent of</w:t>
            </w:r>
            <w:r w:rsidR="001B2CAA" w:rsidRPr="001B2CAA">
              <w:rPr>
                <w:rStyle w:val="A4"/>
              </w:rPr>
              <w:t xml:space="preserve"> </w:t>
            </w:r>
            <w:r w:rsidR="00897A04">
              <w:rPr>
                <w:rStyle w:val="A4"/>
              </w:rPr>
              <w:t xml:space="preserve">the 26 </w:t>
            </w:r>
            <w:proofErr w:type="spellStart"/>
            <w:r w:rsidR="00897A04">
              <w:rPr>
                <w:rStyle w:val="A4"/>
              </w:rPr>
              <w:t>milion</w:t>
            </w:r>
            <w:proofErr w:type="spellEnd"/>
            <w:r w:rsidR="00897A04">
              <w:rPr>
                <w:rStyle w:val="A4"/>
              </w:rPr>
              <w:t xml:space="preserve"> </w:t>
            </w:r>
            <w:r w:rsidR="001B2CAA" w:rsidRPr="001B2CAA">
              <w:rPr>
                <w:rStyle w:val="A4"/>
              </w:rPr>
              <w:t>patient</w:t>
            </w:r>
            <w:r w:rsidR="00DB60B6">
              <w:rPr>
                <w:rStyle w:val="A4"/>
              </w:rPr>
              <w:t>s</w:t>
            </w:r>
            <w:r w:rsidR="006804D9">
              <w:rPr>
                <w:rStyle w:val="A4"/>
              </w:rPr>
              <w:t>’</w:t>
            </w:r>
            <w:r w:rsidR="00897A04">
              <w:rPr>
                <w:rStyle w:val="A4"/>
              </w:rPr>
              <w:t xml:space="preserve"> </w:t>
            </w:r>
            <w:r w:rsidR="00DA04C1" w:rsidRPr="001B2CAA">
              <w:rPr>
                <w:rStyle w:val="A4"/>
              </w:rPr>
              <w:t xml:space="preserve">(median age </w:t>
            </w:r>
            <w:r w:rsidR="00DA04C1">
              <w:rPr>
                <w:rStyle w:val="A4"/>
              </w:rPr>
              <w:t>47.5</w:t>
            </w:r>
            <w:r w:rsidR="00DA04C1" w:rsidRPr="001B2CAA">
              <w:rPr>
                <w:rStyle w:val="A4"/>
              </w:rPr>
              <w:t xml:space="preserve"> years)</w:t>
            </w:r>
            <w:r w:rsidR="00DA04C1">
              <w:rPr>
                <w:rStyle w:val="A4"/>
              </w:rPr>
              <w:t xml:space="preserve"> in the </w:t>
            </w:r>
            <w:proofErr w:type="spellStart"/>
            <w:r w:rsidR="00DA04C1">
              <w:rPr>
                <w:rStyle w:val="A4"/>
              </w:rPr>
              <w:t>Nostradata</w:t>
            </w:r>
            <w:proofErr w:type="spellEnd"/>
            <w:r w:rsidR="00DA04C1">
              <w:rPr>
                <w:rStyle w:val="A4"/>
              </w:rPr>
              <w:t xml:space="preserve"> </w:t>
            </w:r>
            <w:r w:rsidR="00897A04">
              <w:rPr>
                <w:rStyle w:val="A4"/>
              </w:rPr>
              <w:t>dispensing record</w:t>
            </w:r>
            <w:r w:rsidR="008708AB">
              <w:rPr>
                <w:rStyle w:val="A4"/>
              </w:rPr>
              <w:t>s</w:t>
            </w:r>
            <w:r w:rsidR="006804D9">
              <w:rPr>
                <w:rStyle w:val="A4"/>
              </w:rPr>
              <w:t xml:space="preserve"> </w:t>
            </w:r>
            <w:r w:rsidR="00897A04">
              <w:rPr>
                <w:rStyle w:val="A4"/>
              </w:rPr>
              <w:t>(n=</w:t>
            </w:r>
            <w:r w:rsidR="00897A04" w:rsidRPr="00667FB1">
              <w:rPr>
                <w:rStyle w:val="A4"/>
              </w:rPr>
              <w:t>3,837,950</w:t>
            </w:r>
            <w:r w:rsidR="00897A04">
              <w:rPr>
                <w:rStyle w:val="A4"/>
              </w:rPr>
              <w:t xml:space="preserve">) </w:t>
            </w:r>
            <w:r w:rsidR="001D19DD">
              <w:rPr>
                <w:rStyle w:val="A4"/>
              </w:rPr>
              <w:t>were dispensed</w:t>
            </w:r>
            <w:r w:rsidR="00667FB1">
              <w:rPr>
                <w:rStyle w:val="A4"/>
              </w:rPr>
              <w:t xml:space="preserve"> at least </w:t>
            </w:r>
            <w:r w:rsidR="00DA04C1">
              <w:rPr>
                <w:rStyle w:val="A4"/>
              </w:rPr>
              <w:t>one</w:t>
            </w:r>
            <w:r w:rsidR="00DA04C1">
              <w:rPr>
                <w:rStyle w:val="A4"/>
              </w:rPr>
              <w:t xml:space="preserve"> </w:t>
            </w:r>
            <w:r w:rsidR="001D19DD" w:rsidRPr="001B2CAA">
              <w:rPr>
                <w:rStyle w:val="A4"/>
              </w:rPr>
              <w:t>asthma/COPD medication</w:t>
            </w:r>
            <w:r w:rsidR="006804D9">
              <w:rPr>
                <w:rStyle w:val="A4"/>
              </w:rPr>
              <w:t xml:space="preserve">; </w:t>
            </w:r>
            <w:r w:rsidR="00B72D7C">
              <w:rPr>
                <w:rStyle w:val="A4"/>
              </w:rPr>
              <w:t xml:space="preserve">66% (n=2,526,249) </w:t>
            </w:r>
            <w:r w:rsidR="006804D9">
              <w:rPr>
                <w:rStyle w:val="A4"/>
              </w:rPr>
              <w:t>were dispensed</w:t>
            </w:r>
            <w:r w:rsidR="00B72D7C">
              <w:rPr>
                <w:rStyle w:val="A4"/>
              </w:rPr>
              <w:t xml:space="preserve"> at least </w:t>
            </w:r>
            <w:r w:rsidR="00DA04C1">
              <w:rPr>
                <w:rStyle w:val="A4"/>
              </w:rPr>
              <w:t>one</w:t>
            </w:r>
            <w:r w:rsidR="00740516">
              <w:rPr>
                <w:rStyle w:val="A4"/>
              </w:rPr>
              <w:t xml:space="preserve"> </w:t>
            </w:r>
            <w:r w:rsidR="002D32B5">
              <w:rPr>
                <w:rStyle w:val="A4"/>
              </w:rPr>
              <w:t>p</w:t>
            </w:r>
            <w:r w:rsidR="00740516">
              <w:rPr>
                <w:rStyle w:val="A4"/>
              </w:rPr>
              <w:t xml:space="preserve">reventer/controller inhaler </w:t>
            </w:r>
            <w:r w:rsidR="00070A3E">
              <w:rPr>
                <w:rStyle w:val="A4"/>
              </w:rPr>
              <w:t>over the study time period</w:t>
            </w:r>
            <w:r w:rsidR="00B72D7C">
              <w:rPr>
                <w:rStyle w:val="A4"/>
              </w:rPr>
              <w:t xml:space="preserve">. Of the patients with </w:t>
            </w:r>
            <w:r w:rsidR="00897A04">
              <w:rPr>
                <w:rStyle w:val="A4"/>
              </w:rPr>
              <w:t>a valid dispensing quantity (</w:t>
            </w:r>
            <w:r w:rsidR="00B72D7C">
              <w:rPr>
                <w:rStyle w:val="A4"/>
              </w:rPr>
              <w:t xml:space="preserve">96%, </w:t>
            </w:r>
            <w:r w:rsidR="00897A04">
              <w:rPr>
                <w:rStyle w:val="A4"/>
              </w:rPr>
              <w:t>n=</w:t>
            </w:r>
            <w:r w:rsidR="00897A04" w:rsidRPr="00897A04">
              <w:rPr>
                <w:rStyle w:val="A4"/>
              </w:rPr>
              <w:t>2,415,047</w:t>
            </w:r>
            <w:r w:rsidR="00897A04">
              <w:rPr>
                <w:rStyle w:val="A4"/>
              </w:rPr>
              <w:t xml:space="preserve">), 7% had </w:t>
            </w:r>
            <w:r w:rsidR="006804D9">
              <w:rPr>
                <w:rStyle w:val="A4"/>
              </w:rPr>
              <w:t>at least</w:t>
            </w:r>
            <w:r w:rsidR="00897A04">
              <w:rPr>
                <w:rStyle w:val="A4"/>
              </w:rPr>
              <w:t xml:space="preserve"> 60% adherence rate to </w:t>
            </w:r>
            <w:r w:rsidR="006804D9">
              <w:rPr>
                <w:rStyle w:val="A4"/>
              </w:rPr>
              <w:t>their</w:t>
            </w:r>
            <w:r w:rsidR="00DA04C1">
              <w:rPr>
                <w:rStyle w:val="A4"/>
              </w:rPr>
              <w:t xml:space="preserve"> preventer</w:t>
            </w:r>
            <w:r w:rsidR="00897A04">
              <w:rPr>
                <w:rStyle w:val="A4"/>
              </w:rPr>
              <w:t xml:space="preserve"> inhaler</w:t>
            </w:r>
            <w:r w:rsidR="00B72D7C">
              <w:rPr>
                <w:rStyle w:val="A4"/>
              </w:rPr>
              <w:t xml:space="preserve">. </w:t>
            </w:r>
            <w:r w:rsidR="00DA04C1">
              <w:rPr>
                <w:rStyle w:val="A4"/>
              </w:rPr>
              <w:t xml:space="preserve">Adherence patterns of at least 60% were more likely for those individuals who visited </w:t>
            </w:r>
            <w:r w:rsidR="001F6689">
              <w:rPr>
                <w:rStyle w:val="A4"/>
              </w:rPr>
              <w:t xml:space="preserve">fewer </w:t>
            </w:r>
            <w:r w:rsidR="00B72D7C">
              <w:rPr>
                <w:rStyle w:val="A4"/>
              </w:rPr>
              <w:t xml:space="preserve">than </w:t>
            </w:r>
            <w:r w:rsidR="000D7C14">
              <w:rPr>
                <w:rStyle w:val="A4"/>
              </w:rPr>
              <w:t>3</w:t>
            </w:r>
            <w:r w:rsidR="00B72D7C">
              <w:rPr>
                <w:rStyle w:val="A4"/>
              </w:rPr>
              <w:t xml:space="preserve"> pharmacies</w:t>
            </w:r>
            <w:r w:rsidR="000D7C14">
              <w:rPr>
                <w:rStyle w:val="A4"/>
              </w:rPr>
              <w:t xml:space="preserve"> and </w:t>
            </w:r>
            <w:r w:rsidR="0024768D">
              <w:rPr>
                <w:rStyle w:val="A4"/>
              </w:rPr>
              <w:t xml:space="preserve">were prescribed their preventer inhaler by a GP and a specialist (either respiratory or </w:t>
            </w:r>
            <w:proofErr w:type="spellStart"/>
            <w:r w:rsidR="0024768D">
              <w:rPr>
                <w:rStyle w:val="A4"/>
              </w:rPr>
              <w:t>orther</w:t>
            </w:r>
            <w:proofErr w:type="spellEnd"/>
            <w:r w:rsidR="0024768D">
              <w:rPr>
                <w:rStyle w:val="A4"/>
              </w:rPr>
              <w:t xml:space="preserve">), compared with just their GP (12 % versus 6%,  </w:t>
            </w:r>
            <w:r w:rsidR="006804D9">
              <w:rPr>
                <w:rStyle w:val="A4"/>
              </w:rPr>
              <w:t>p&lt;0.001)</w:t>
            </w:r>
            <w:r w:rsidR="00B72D7C">
              <w:rPr>
                <w:rStyle w:val="A4"/>
              </w:rPr>
              <w:t>.</w:t>
            </w:r>
          </w:p>
          <w:p w14:paraId="2D4FFA2D" w14:textId="263D58E3" w:rsidR="001B2CAA" w:rsidRPr="001B2CAA" w:rsidRDefault="001564A4" w:rsidP="001D19DD">
            <w:pPr>
              <w:pStyle w:val="Pa12"/>
              <w:jc w:val="both"/>
              <w:rPr>
                <w:rStyle w:val="A4"/>
              </w:rPr>
            </w:pPr>
            <w:r w:rsidRPr="001B2CAA">
              <w:rPr>
                <w:rStyle w:val="A4"/>
                <w:b/>
                <w:bCs/>
              </w:rPr>
              <w:t>Conclusion:</w:t>
            </w:r>
            <w:r w:rsidR="00E86357" w:rsidRPr="001B2CAA">
              <w:rPr>
                <w:rStyle w:val="A4"/>
                <w:b/>
                <w:bCs/>
              </w:rPr>
              <w:t xml:space="preserve"> </w:t>
            </w:r>
            <w:r w:rsidR="002D73F8">
              <w:rPr>
                <w:rStyle w:val="A4"/>
              </w:rPr>
              <w:t>Pharmacy dispensing record</w:t>
            </w:r>
            <w:r w:rsidR="00363797">
              <w:rPr>
                <w:rStyle w:val="A4"/>
              </w:rPr>
              <w:t>s</w:t>
            </w:r>
            <w:r w:rsidR="002D73F8">
              <w:rPr>
                <w:rStyle w:val="A4"/>
              </w:rPr>
              <w:t xml:space="preserve"> </w:t>
            </w:r>
            <w:r w:rsidR="00070A3E">
              <w:rPr>
                <w:rStyle w:val="A4"/>
              </w:rPr>
              <w:t xml:space="preserve">have the potential to add further insights into identifying high risk patients through the longitudinal review of dispensing data and prescribing practices. Further work needs to explore ways in which pharmacy dispensing records can be better used to drive identification of high risk medication dispensing behaviours. </w:t>
            </w:r>
          </w:p>
          <w:p w14:paraId="7F8381F0" w14:textId="5D74422C" w:rsidR="001564A4" w:rsidRPr="001B2CAA" w:rsidRDefault="001564A4" w:rsidP="000A28E2">
            <w:pPr>
              <w:pStyle w:val="Pa12"/>
              <w:rPr>
                <w:b/>
                <w:bCs/>
                <w:color w:val="000000"/>
                <w:sz w:val="22"/>
                <w:szCs w:val="22"/>
              </w:rPr>
            </w:pPr>
            <w:r w:rsidRPr="001B2CAA">
              <w:rPr>
                <w:rStyle w:val="A4"/>
                <w:b/>
                <w:bCs/>
              </w:rPr>
              <w:t xml:space="preserve">Grant Support: </w:t>
            </w:r>
            <w:r w:rsidR="001B2CAA" w:rsidRPr="001B2CAA">
              <w:rPr>
                <w:sz w:val="22"/>
                <w:szCs w:val="22"/>
              </w:rPr>
              <w:t>Investigator Sponsored Study, AstraZeneca Australia Pty Ltd.</w:t>
            </w:r>
            <w:r w:rsidRPr="001B2CAA">
              <w:rPr>
                <w:sz w:val="22"/>
                <w:szCs w:val="22"/>
              </w:rPr>
              <w:br/>
            </w:r>
            <w:r w:rsidRPr="001B2CAA">
              <w:rPr>
                <w:sz w:val="22"/>
                <w:szCs w:val="22"/>
              </w:rPr>
              <w:br/>
            </w:r>
            <w:r w:rsidRPr="001B2CAA">
              <w:rPr>
                <w:sz w:val="22"/>
                <w:szCs w:val="22"/>
              </w:rPr>
              <w:br/>
            </w:r>
            <w:r w:rsidRPr="001B2CAA">
              <w:rPr>
                <w:sz w:val="22"/>
                <w:szCs w:val="22"/>
              </w:rPr>
              <w:br/>
            </w:r>
          </w:p>
          <w:p w14:paraId="731CD908" w14:textId="77777777" w:rsidR="001564A4" w:rsidRPr="001B2CAA" w:rsidRDefault="001564A4" w:rsidP="000A28E2">
            <w:pPr>
              <w:pStyle w:val="Default"/>
              <w:rPr>
                <w:sz w:val="22"/>
                <w:szCs w:val="22"/>
              </w:rPr>
            </w:pPr>
          </w:p>
          <w:p w14:paraId="34BF0A0F" w14:textId="77777777" w:rsidR="001564A4" w:rsidRPr="001B2CAA" w:rsidRDefault="001564A4" w:rsidP="000A28E2">
            <w:pPr>
              <w:pStyle w:val="Default"/>
              <w:rPr>
                <w:sz w:val="22"/>
                <w:szCs w:val="22"/>
              </w:rPr>
            </w:pPr>
          </w:p>
          <w:p w14:paraId="1FF1A88F" w14:textId="77777777" w:rsidR="001564A4" w:rsidRPr="001B2CAA" w:rsidRDefault="001564A4" w:rsidP="000A28E2">
            <w:pPr>
              <w:pStyle w:val="Pa12"/>
              <w:rPr>
                <w:rStyle w:val="A4"/>
                <w:bCs/>
              </w:rPr>
            </w:pPr>
            <w:r w:rsidRPr="001B2CAA">
              <w:rPr>
                <w:rStyle w:val="A4"/>
                <w:bCs/>
              </w:rPr>
              <w:br/>
            </w:r>
            <w:r w:rsidRPr="001B2CAA">
              <w:rPr>
                <w:rStyle w:val="A4"/>
                <w:bCs/>
              </w:rPr>
              <w:br/>
            </w:r>
            <w:r w:rsidRPr="001B2CAA">
              <w:rPr>
                <w:rStyle w:val="A4"/>
                <w:bCs/>
              </w:rPr>
              <w:br/>
            </w:r>
            <w:r w:rsidRPr="001B2CAA">
              <w:rPr>
                <w:rStyle w:val="A4"/>
                <w:bCs/>
              </w:rPr>
              <w:br/>
            </w:r>
            <w:r w:rsidRPr="001B2CAA">
              <w:rPr>
                <w:rStyle w:val="A4"/>
                <w:bCs/>
              </w:rPr>
              <w:br/>
            </w:r>
            <w:r w:rsidRPr="001B2CAA">
              <w:rPr>
                <w:rStyle w:val="A4"/>
                <w:bCs/>
              </w:rPr>
              <w:br/>
            </w:r>
            <w:r w:rsidRPr="001B2CAA">
              <w:rPr>
                <w:rStyle w:val="A4"/>
                <w:bCs/>
              </w:rPr>
              <w:br/>
            </w:r>
            <w:r w:rsidRPr="001B2CAA">
              <w:rPr>
                <w:rStyle w:val="A4"/>
                <w:bCs/>
              </w:rPr>
              <w:br/>
            </w:r>
            <w:r w:rsidRPr="001B2CAA">
              <w:rPr>
                <w:rStyle w:val="A4"/>
                <w:bCs/>
              </w:rPr>
              <w:br/>
            </w:r>
            <w:r w:rsidRPr="001B2CAA">
              <w:rPr>
                <w:rStyle w:val="A4"/>
                <w:bCs/>
              </w:rPr>
              <w:br/>
            </w:r>
            <w:r w:rsidRPr="001B2CAA">
              <w:rPr>
                <w:rStyle w:val="A4"/>
                <w:bCs/>
              </w:rPr>
              <w:br/>
            </w:r>
          </w:p>
          <w:p w14:paraId="14DC37E4" w14:textId="77777777" w:rsidR="001564A4" w:rsidRPr="001B2CAA" w:rsidRDefault="001564A4" w:rsidP="000A28E2">
            <w:pPr>
              <w:pStyle w:val="Default"/>
              <w:rPr>
                <w:rStyle w:val="A4"/>
                <w:bCs/>
              </w:rPr>
            </w:pPr>
          </w:p>
          <w:p w14:paraId="5F58D34F" w14:textId="77777777" w:rsidR="001564A4" w:rsidRPr="001B2CAA" w:rsidRDefault="001564A4" w:rsidP="000A28E2">
            <w:pPr>
              <w:pStyle w:val="Default"/>
              <w:rPr>
                <w:sz w:val="22"/>
                <w:szCs w:val="22"/>
                <w:lang w:val="en-US" w:eastAsia="en-GB"/>
              </w:rPr>
            </w:pP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r w:rsidRPr="001B2CAA">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tlas Grotesk Regular">
    <w:altName w:val="Calibri"/>
    <w:panose1 w:val="020B0604020202020204"/>
    <w:charset w:val="00"/>
    <w:family w:val="moder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2042D"/>
    <w:multiLevelType w:val="hybridMultilevel"/>
    <w:tmpl w:val="C6A2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510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6232"/>
    <w:rsid w:val="00016F40"/>
    <w:rsid w:val="00027E1A"/>
    <w:rsid w:val="000542A9"/>
    <w:rsid w:val="00070A3E"/>
    <w:rsid w:val="000D7C14"/>
    <w:rsid w:val="000E3B7A"/>
    <w:rsid w:val="000F0E3F"/>
    <w:rsid w:val="00106742"/>
    <w:rsid w:val="00123D61"/>
    <w:rsid w:val="00131285"/>
    <w:rsid w:val="001462EF"/>
    <w:rsid w:val="001564A4"/>
    <w:rsid w:val="00170CA5"/>
    <w:rsid w:val="001711BA"/>
    <w:rsid w:val="001A7280"/>
    <w:rsid w:val="001B2CAA"/>
    <w:rsid w:val="001C5D28"/>
    <w:rsid w:val="001D19DD"/>
    <w:rsid w:val="001F6689"/>
    <w:rsid w:val="00211963"/>
    <w:rsid w:val="00216A92"/>
    <w:rsid w:val="0021738A"/>
    <w:rsid w:val="0023708A"/>
    <w:rsid w:val="0024768D"/>
    <w:rsid w:val="00282B40"/>
    <w:rsid w:val="002879D2"/>
    <w:rsid w:val="0029782C"/>
    <w:rsid w:val="002A7414"/>
    <w:rsid w:val="002B33EB"/>
    <w:rsid w:val="002C5563"/>
    <w:rsid w:val="002D2B70"/>
    <w:rsid w:val="002D32B5"/>
    <w:rsid w:val="002D73F8"/>
    <w:rsid w:val="002E541E"/>
    <w:rsid w:val="00331B61"/>
    <w:rsid w:val="003415FC"/>
    <w:rsid w:val="00363797"/>
    <w:rsid w:val="00363A1C"/>
    <w:rsid w:val="003A4F13"/>
    <w:rsid w:val="00437C07"/>
    <w:rsid w:val="004573E8"/>
    <w:rsid w:val="00484083"/>
    <w:rsid w:val="00495762"/>
    <w:rsid w:val="004D05E1"/>
    <w:rsid w:val="0051574E"/>
    <w:rsid w:val="00533A86"/>
    <w:rsid w:val="00551947"/>
    <w:rsid w:val="00553E8C"/>
    <w:rsid w:val="00586475"/>
    <w:rsid w:val="005A0D20"/>
    <w:rsid w:val="005A7D5E"/>
    <w:rsid w:val="005B27B2"/>
    <w:rsid w:val="005D3D80"/>
    <w:rsid w:val="005E33A8"/>
    <w:rsid w:val="00600107"/>
    <w:rsid w:val="006055C9"/>
    <w:rsid w:val="00610C47"/>
    <w:rsid w:val="00667FB1"/>
    <w:rsid w:val="00677569"/>
    <w:rsid w:val="006804D9"/>
    <w:rsid w:val="00687B5B"/>
    <w:rsid w:val="006A7B28"/>
    <w:rsid w:val="006B43E2"/>
    <w:rsid w:val="006D20A9"/>
    <w:rsid w:val="007121B1"/>
    <w:rsid w:val="00740516"/>
    <w:rsid w:val="00752038"/>
    <w:rsid w:val="00793099"/>
    <w:rsid w:val="007D0E3C"/>
    <w:rsid w:val="007F5C33"/>
    <w:rsid w:val="00810F8D"/>
    <w:rsid w:val="008469C9"/>
    <w:rsid w:val="00870532"/>
    <w:rsid w:val="008708AB"/>
    <w:rsid w:val="008803FA"/>
    <w:rsid w:val="00897A04"/>
    <w:rsid w:val="008D7893"/>
    <w:rsid w:val="008F0070"/>
    <w:rsid w:val="009029B7"/>
    <w:rsid w:val="009374F2"/>
    <w:rsid w:val="00954267"/>
    <w:rsid w:val="009A2A08"/>
    <w:rsid w:val="009E4ACB"/>
    <w:rsid w:val="00A012B2"/>
    <w:rsid w:val="00A02181"/>
    <w:rsid w:val="00A26BE2"/>
    <w:rsid w:val="00AA2CE3"/>
    <w:rsid w:val="00AC70BE"/>
    <w:rsid w:val="00B07556"/>
    <w:rsid w:val="00B12E32"/>
    <w:rsid w:val="00B16D5C"/>
    <w:rsid w:val="00B72D7C"/>
    <w:rsid w:val="00B81E04"/>
    <w:rsid w:val="00B82673"/>
    <w:rsid w:val="00B84C97"/>
    <w:rsid w:val="00BC1A50"/>
    <w:rsid w:val="00BD1D46"/>
    <w:rsid w:val="00BF324E"/>
    <w:rsid w:val="00C37089"/>
    <w:rsid w:val="00C54943"/>
    <w:rsid w:val="00CF58DB"/>
    <w:rsid w:val="00D30076"/>
    <w:rsid w:val="00D352E5"/>
    <w:rsid w:val="00D851E2"/>
    <w:rsid w:val="00D902FE"/>
    <w:rsid w:val="00D94F5D"/>
    <w:rsid w:val="00DA04C1"/>
    <w:rsid w:val="00DA7EE1"/>
    <w:rsid w:val="00DB60B6"/>
    <w:rsid w:val="00DB6320"/>
    <w:rsid w:val="00DD0DA6"/>
    <w:rsid w:val="00E0700F"/>
    <w:rsid w:val="00E112CB"/>
    <w:rsid w:val="00E64B7C"/>
    <w:rsid w:val="00E86357"/>
    <w:rsid w:val="00E92392"/>
    <w:rsid w:val="00EA1618"/>
    <w:rsid w:val="00EA32E6"/>
    <w:rsid w:val="00EC7416"/>
    <w:rsid w:val="00ED28EE"/>
    <w:rsid w:val="00ED6922"/>
    <w:rsid w:val="00F15375"/>
    <w:rsid w:val="00F25551"/>
    <w:rsid w:val="00F26EFC"/>
    <w:rsid w:val="00F736B2"/>
    <w:rsid w:val="00F831AA"/>
    <w:rsid w:val="00F85FA3"/>
    <w:rsid w:val="00F9029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ListParagraph">
    <w:name w:val="List Paragraph"/>
    <w:basedOn w:val="Normal"/>
    <w:uiPriority w:val="34"/>
    <w:qFormat/>
    <w:rsid w:val="00610C47"/>
    <w:pPr>
      <w:ind w:left="720"/>
      <w:contextualSpacing/>
    </w:pPr>
    <w:rPr>
      <w:rFonts w:asciiTheme="minorHAnsi" w:eastAsiaTheme="minorEastAsia" w:hAnsiTheme="minorHAnsi" w:cstheme="minorBidi"/>
      <w:lang w:val="en-AU" w:eastAsia="zh-CN"/>
    </w:rPr>
  </w:style>
  <w:style w:type="character" w:styleId="CommentReference">
    <w:name w:val="annotation reference"/>
    <w:basedOn w:val="DefaultParagraphFont"/>
    <w:uiPriority w:val="99"/>
    <w:semiHidden/>
    <w:unhideWhenUsed/>
    <w:rsid w:val="00E64B7C"/>
    <w:rPr>
      <w:sz w:val="16"/>
      <w:szCs w:val="16"/>
    </w:rPr>
  </w:style>
  <w:style w:type="paragraph" w:styleId="CommentText">
    <w:name w:val="annotation text"/>
    <w:basedOn w:val="Normal"/>
    <w:link w:val="CommentTextChar"/>
    <w:uiPriority w:val="99"/>
    <w:semiHidden/>
    <w:unhideWhenUsed/>
    <w:rsid w:val="00E64B7C"/>
    <w:rPr>
      <w:sz w:val="20"/>
      <w:szCs w:val="20"/>
    </w:rPr>
  </w:style>
  <w:style w:type="character" w:customStyle="1" w:styleId="CommentTextChar">
    <w:name w:val="Comment Text Char"/>
    <w:basedOn w:val="DefaultParagraphFont"/>
    <w:link w:val="CommentText"/>
    <w:uiPriority w:val="99"/>
    <w:semiHidden/>
    <w:rsid w:val="00E64B7C"/>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E64B7C"/>
    <w:rPr>
      <w:b/>
      <w:bCs/>
    </w:rPr>
  </w:style>
  <w:style w:type="character" w:customStyle="1" w:styleId="CommentSubjectChar">
    <w:name w:val="Comment Subject Char"/>
    <w:basedOn w:val="CommentTextChar"/>
    <w:link w:val="CommentSubject"/>
    <w:uiPriority w:val="99"/>
    <w:semiHidden/>
    <w:rsid w:val="00E64B7C"/>
    <w:rPr>
      <w:rFonts w:ascii="Times New Roman" w:eastAsia="Times New Roman" w:hAnsi="Times New Roman" w:cs="Times New Roman"/>
      <w:b/>
      <w:bCs/>
      <w:lang w:val="en-GB"/>
    </w:rPr>
  </w:style>
  <w:style w:type="paragraph" w:styleId="Revision">
    <w:name w:val="Revision"/>
    <w:hidden/>
    <w:uiPriority w:val="99"/>
    <w:semiHidden/>
    <w:rsid w:val="00553E8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Sinthia Bosnic-Anticevich</cp:lastModifiedBy>
  <cp:revision>2</cp:revision>
  <dcterms:created xsi:type="dcterms:W3CDTF">2023-10-19T11:14:00Z</dcterms:created>
  <dcterms:modified xsi:type="dcterms:W3CDTF">2023-10-19T11:14:00Z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