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69"/>
      </w:tblGrid>
      <w:tr w:rsidR="006D4713" w:rsidRPr="0050053A" w14:paraId="6C68AC80" w14:textId="77777777" w:rsidTr="00D4421C">
        <w:trPr>
          <w:trHeight w:val="1205"/>
          <w:jc w:val="center"/>
        </w:trPr>
        <w:tc>
          <w:tcPr>
            <w:tcW w:w="8969" w:type="dxa"/>
            <w:shd w:val="clear" w:color="auto" w:fill="auto"/>
          </w:tcPr>
          <w:p w14:paraId="6C68AC7F" w14:textId="51C5F1FC" w:rsidR="006D4713" w:rsidRPr="0050053A" w:rsidRDefault="00D1370B" w:rsidP="0030104B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SpO</w:t>
            </w:r>
            <w:r w:rsidRPr="000616A4">
              <w:rPr>
                <w:rFonts w:ascii="Arial" w:hAnsi="Arial" w:cs="Arial"/>
                <w:b/>
                <w:sz w:val="22"/>
                <w:szCs w:val="22"/>
                <w:vertAlign w:val="subscript"/>
                <w:lang w:val="en-US" w:eastAsia="en-GB"/>
              </w:rPr>
              <w:t>2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measurements are higher in forehead probes compared to </w:t>
            </w:r>
            <w:r w:rsidR="0059679A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a 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finger probe during the six-minute walk test and when compared to resting </w:t>
            </w:r>
            <w:r w:rsidRPr="00D546B3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arterial </w:t>
            </w:r>
            <w:r w:rsidR="00565FC5" w:rsidRPr="00D546B3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oxygen </w:t>
            </w:r>
            <w:r w:rsidR="00D546B3" w:rsidRPr="00D546B3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from </w:t>
            </w:r>
            <w:r w:rsidRPr="00D546B3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blood gas samples.</w:t>
            </w:r>
          </w:p>
        </w:tc>
      </w:tr>
      <w:tr w:rsidR="006D4713" w:rsidRPr="0050053A" w14:paraId="6C68AC82" w14:textId="77777777" w:rsidTr="00D4421C">
        <w:trPr>
          <w:trHeight w:val="602"/>
          <w:jc w:val="center"/>
        </w:trPr>
        <w:tc>
          <w:tcPr>
            <w:tcW w:w="8969" w:type="dxa"/>
            <w:shd w:val="clear" w:color="auto" w:fill="auto"/>
          </w:tcPr>
          <w:p w14:paraId="6C68AC81" w14:textId="7F254E3F" w:rsidR="006D4713" w:rsidRPr="0050053A" w:rsidRDefault="00D1370B" w:rsidP="00D1370B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u w:val="single"/>
                <w:lang w:eastAsia="zh-CN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Lindsay Bedser</w:t>
            </w:r>
            <w:bookmarkStart w:id="0" w:name="Text8"/>
            <w:r w:rsidR="00D06FEB" w:rsidRPr="00D06FEB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6D4713" w:rsidRPr="0050053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</w:t>
            </w:r>
            <w:bookmarkEnd w:id="0"/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Olivia de Groot</w:t>
            </w:r>
            <w:r w:rsidR="00D06FEB" w:rsidRPr="00D06FEB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6D4713" w:rsidRPr="0050053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</w:t>
            </w:r>
            <w:r w:rsidR="009D11D5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Alistair Watson</w:t>
            </w:r>
            <w:r w:rsidR="009D11D5" w:rsidRPr="009D11D5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9D11D5" w:rsidRPr="004878F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</w:t>
            </w:r>
            <w:r w:rsidR="009D11D5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Richard Fong</w:t>
            </w:r>
            <w:r w:rsidR="009D11D5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</w:p>
        </w:tc>
      </w:tr>
      <w:tr w:rsidR="006D4713" w:rsidRPr="0050053A" w14:paraId="6C68AC88" w14:textId="77777777" w:rsidTr="00D4421C">
        <w:trPr>
          <w:trHeight w:val="165"/>
          <w:jc w:val="center"/>
        </w:trPr>
        <w:tc>
          <w:tcPr>
            <w:tcW w:w="8969" w:type="dxa"/>
            <w:shd w:val="clear" w:color="auto" w:fill="auto"/>
          </w:tcPr>
          <w:p w14:paraId="6C68AC83" w14:textId="64E5715D" w:rsidR="006D4713" w:rsidRPr="0050053A" w:rsidRDefault="006D4713" w:rsidP="009C1987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565FC5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Respiratory Service, </w:t>
            </w:r>
            <w:r w:rsidR="00D06FEB" w:rsidRPr="00D06FEB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Te Whatu Ora Te Pae Hauora o Ruahine o Tararua</w:t>
            </w:r>
            <w:r w:rsidR="00D06FEB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</w:t>
            </w:r>
            <w:r w:rsidR="00D06FEB" w:rsidRPr="00D06FEB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MidCentral</w:t>
            </w:r>
            <w:r w:rsidR="00D06FEB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 Manawatu-Whanganui, New Zealand.</w:t>
            </w:r>
          </w:p>
          <w:p w14:paraId="6C68AC87" w14:textId="24AD5FA0" w:rsidR="0030104B" w:rsidRPr="0050053A" w:rsidRDefault="009D11D5" w:rsidP="00D02B65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 w:rsidR="0030104B" w:rsidRPr="0030104B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Analytics and Financial Advisory Department,</w:t>
            </w:r>
            <w:r w:rsidR="00D06FEB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</w:t>
            </w:r>
            <w:r w:rsidR="00D06FEB" w:rsidRPr="00D06FEB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Te Whatu Ora Te Pae Hauora o Ruahine o Tararua, MidCentral, Manawatu-Whanganui, New Zealand.</w:t>
            </w:r>
          </w:p>
        </w:tc>
      </w:tr>
      <w:tr w:rsidR="006D4713" w:rsidRPr="0050053A" w14:paraId="6C68ACA3" w14:textId="77777777" w:rsidTr="00D4421C">
        <w:trPr>
          <w:trHeight w:hRule="exact" w:val="10000"/>
          <w:jc w:val="center"/>
        </w:trPr>
        <w:tc>
          <w:tcPr>
            <w:tcW w:w="8969" w:type="dxa"/>
            <w:shd w:val="clear" w:color="auto" w:fill="auto"/>
          </w:tcPr>
          <w:p w14:paraId="589B306E" w14:textId="77777777" w:rsidR="0030104B" w:rsidRDefault="0030104B" w:rsidP="009C1987">
            <w:pPr>
              <w:pStyle w:val="Pa12"/>
              <w:rPr>
                <w:rStyle w:val="A4"/>
                <w:b/>
                <w:bCs/>
              </w:rPr>
            </w:pPr>
          </w:p>
          <w:p w14:paraId="6C68AC89" w14:textId="5245BE1D" w:rsidR="006D4713" w:rsidRPr="007B5807" w:rsidRDefault="00B32D01" w:rsidP="009C1987">
            <w:pPr>
              <w:pStyle w:val="Pa12"/>
              <w:rPr>
                <w:rStyle w:val="A4"/>
              </w:rPr>
            </w:pPr>
            <w:r w:rsidRPr="007B5807">
              <w:rPr>
                <w:rStyle w:val="A4"/>
                <w:b/>
                <w:bCs/>
              </w:rPr>
              <w:t>Introduction</w:t>
            </w:r>
            <w:r w:rsidR="00891462" w:rsidRPr="007B5807">
              <w:rPr>
                <w:rStyle w:val="A4"/>
                <w:b/>
                <w:bCs/>
              </w:rPr>
              <w:t>/Aim</w:t>
            </w:r>
            <w:r w:rsidR="006D4713" w:rsidRPr="007B5807">
              <w:rPr>
                <w:rStyle w:val="A4"/>
                <w:b/>
                <w:bCs/>
              </w:rPr>
              <w:t xml:space="preserve">: </w:t>
            </w:r>
          </w:p>
          <w:p w14:paraId="6C68AC8C" w14:textId="6247D96C" w:rsidR="006D4713" w:rsidRPr="007B5807" w:rsidRDefault="00B32D01" w:rsidP="0030104B">
            <w:pPr>
              <w:pStyle w:val="Pa12"/>
              <w:spacing w:line="240" w:lineRule="auto"/>
              <w:rPr>
                <w:rStyle w:val="A4"/>
                <w:bCs/>
              </w:rPr>
            </w:pPr>
            <w:r w:rsidRPr="007B5807">
              <w:rPr>
                <w:rStyle w:val="A4"/>
                <w:bCs/>
              </w:rPr>
              <w:t>Distance, heart rate and SpO</w:t>
            </w:r>
            <w:r w:rsidRPr="007B5807">
              <w:rPr>
                <w:rStyle w:val="A4"/>
                <w:bCs/>
                <w:vertAlign w:val="subscript"/>
              </w:rPr>
              <w:t>2</w:t>
            </w:r>
            <w:r w:rsidRPr="007B5807">
              <w:rPr>
                <w:rStyle w:val="A4"/>
                <w:bCs/>
              </w:rPr>
              <w:t xml:space="preserve"> are used </w:t>
            </w:r>
            <w:r w:rsidR="00613004" w:rsidRPr="007B5807">
              <w:rPr>
                <w:rStyle w:val="A4"/>
                <w:bCs/>
              </w:rPr>
              <w:t>as</w:t>
            </w:r>
            <w:r w:rsidR="00667690" w:rsidRPr="007B5807">
              <w:rPr>
                <w:rStyle w:val="A4"/>
                <w:bCs/>
              </w:rPr>
              <w:t xml:space="preserve"> </w:t>
            </w:r>
            <w:r w:rsidRPr="007B5807">
              <w:rPr>
                <w:rStyle w:val="A4"/>
                <w:bCs/>
              </w:rPr>
              <w:t xml:space="preserve">objective </w:t>
            </w:r>
            <w:r w:rsidR="00613004" w:rsidRPr="007B5807">
              <w:rPr>
                <w:rStyle w:val="A4"/>
                <w:bCs/>
              </w:rPr>
              <w:t>measures</w:t>
            </w:r>
            <w:r w:rsidRPr="007B5807">
              <w:rPr>
                <w:rStyle w:val="A4"/>
                <w:bCs/>
              </w:rPr>
              <w:t xml:space="preserve"> of exercise tolerance in patients with chronic respiratory diseases during a six-minute walk test (6MWT). </w:t>
            </w:r>
          </w:p>
          <w:p w14:paraId="4496A730" w14:textId="7072061D" w:rsidR="00B32D01" w:rsidRPr="007B5807" w:rsidRDefault="00891462" w:rsidP="0030104B">
            <w:pPr>
              <w:pStyle w:val="Pa12"/>
              <w:spacing w:line="240" w:lineRule="auto"/>
              <w:rPr>
                <w:rStyle w:val="A4"/>
                <w:bCs/>
                <w:color w:val="FF0000"/>
              </w:rPr>
            </w:pPr>
            <w:r w:rsidRPr="007B5807">
              <w:rPr>
                <w:rStyle w:val="A4"/>
              </w:rPr>
              <w:t>Th</w:t>
            </w:r>
            <w:r w:rsidR="00D06FEB" w:rsidRPr="007B5807">
              <w:rPr>
                <w:rStyle w:val="A4"/>
              </w:rPr>
              <w:t xml:space="preserve">e aim of this investigation </w:t>
            </w:r>
            <w:r w:rsidR="00D3293B">
              <w:rPr>
                <w:rStyle w:val="A4"/>
              </w:rPr>
              <w:t>is</w:t>
            </w:r>
            <w:r w:rsidR="00D06FEB" w:rsidRPr="007B5807">
              <w:rPr>
                <w:rStyle w:val="A4"/>
              </w:rPr>
              <w:t xml:space="preserve"> </w:t>
            </w:r>
            <w:r w:rsidRPr="007B5807">
              <w:rPr>
                <w:rStyle w:val="A4"/>
                <w:bCs/>
              </w:rPr>
              <w:t>t</w:t>
            </w:r>
            <w:r w:rsidR="00B32D01" w:rsidRPr="007B5807">
              <w:rPr>
                <w:rStyle w:val="A4"/>
                <w:bCs/>
              </w:rPr>
              <w:t xml:space="preserve">o identify discrepancies </w:t>
            </w:r>
            <w:r w:rsidR="00066E9F">
              <w:rPr>
                <w:rStyle w:val="A4"/>
                <w:bCs/>
              </w:rPr>
              <w:t>in</w:t>
            </w:r>
            <w:r w:rsidR="00B32D01" w:rsidRPr="007B5807">
              <w:rPr>
                <w:rStyle w:val="A4"/>
                <w:bCs/>
              </w:rPr>
              <w:t xml:space="preserve"> SpO</w:t>
            </w:r>
            <w:r w:rsidR="00B32D01" w:rsidRPr="007B5807">
              <w:rPr>
                <w:rStyle w:val="A4"/>
                <w:bCs/>
                <w:vertAlign w:val="subscript"/>
              </w:rPr>
              <w:t>2</w:t>
            </w:r>
            <w:r w:rsidR="00B32D01" w:rsidRPr="007B5807">
              <w:rPr>
                <w:rStyle w:val="A4"/>
                <w:bCs/>
              </w:rPr>
              <w:t xml:space="preserve"> readings across probes during a 6MWT</w:t>
            </w:r>
            <w:r w:rsidR="00EC5A7E">
              <w:rPr>
                <w:rStyle w:val="A4"/>
                <w:bCs/>
                <w:color w:val="000000" w:themeColor="text1"/>
              </w:rPr>
              <w:t xml:space="preserve">, </w:t>
            </w:r>
            <w:r w:rsidR="00EF21C2">
              <w:rPr>
                <w:rStyle w:val="A4"/>
                <w:bCs/>
                <w:color w:val="000000" w:themeColor="text1"/>
              </w:rPr>
              <w:t>and</w:t>
            </w:r>
            <w:r w:rsidR="00EC5A7E">
              <w:rPr>
                <w:rStyle w:val="A4"/>
                <w:bCs/>
                <w:color w:val="000000" w:themeColor="text1"/>
              </w:rPr>
              <w:t xml:space="preserve"> when compared with </w:t>
            </w:r>
            <w:r w:rsidR="00B32D01" w:rsidRPr="007B5807">
              <w:rPr>
                <w:rStyle w:val="A4"/>
                <w:bCs/>
                <w:color w:val="000000" w:themeColor="text1"/>
              </w:rPr>
              <w:t>resting arterial blood gas sample</w:t>
            </w:r>
            <w:r w:rsidR="00EC5A7E">
              <w:rPr>
                <w:rStyle w:val="A4"/>
                <w:bCs/>
                <w:color w:val="000000" w:themeColor="text1"/>
              </w:rPr>
              <w:t>s</w:t>
            </w:r>
            <w:r w:rsidR="00B32D01" w:rsidRPr="007B5807">
              <w:rPr>
                <w:rStyle w:val="A4"/>
                <w:bCs/>
                <w:color w:val="000000" w:themeColor="text1"/>
              </w:rPr>
              <w:t xml:space="preserve"> (ABG)</w:t>
            </w:r>
            <w:r w:rsidR="00EE7E58" w:rsidRPr="007B5807">
              <w:rPr>
                <w:rStyle w:val="A4"/>
                <w:bCs/>
                <w:color w:val="000000" w:themeColor="text1"/>
              </w:rPr>
              <w:t>.</w:t>
            </w:r>
          </w:p>
          <w:p w14:paraId="300C23D3" w14:textId="77777777" w:rsidR="0030104B" w:rsidRPr="007B5807" w:rsidRDefault="0030104B" w:rsidP="0030104B">
            <w:pPr>
              <w:pStyle w:val="Default"/>
              <w:rPr>
                <w:sz w:val="22"/>
                <w:szCs w:val="22"/>
              </w:rPr>
            </w:pPr>
          </w:p>
          <w:p w14:paraId="6C68AC8D" w14:textId="5ADAE752" w:rsidR="006D4713" w:rsidRPr="007B5807" w:rsidRDefault="006D4713" w:rsidP="009C1987">
            <w:pPr>
              <w:pStyle w:val="Pa12"/>
              <w:rPr>
                <w:rStyle w:val="A4"/>
                <w:b/>
                <w:bCs/>
              </w:rPr>
            </w:pPr>
            <w:r w:rsidRPr="007B5807">
              <w:rPr>
                <w:rStyle w:val="A4"/>
                <w:b/>
                <w:bCs/>
              </w:rPr>
              <w:t xml:space="preserve">Method: </w:t>
            </w:r>
          </w:p>
          <w:p w14:paraId="2C4E29A7" w14:textId="75042E03" w:rsidR="00F7635C" w:rsidRPr="007B5807" w:rsidRDefault="0017222B" w:rsidP="009C1987">
            <w:pPr>
              <w:pStyle w:val="Pa12"/>
              <w:rPr>
                <w:sz w:val="22"/>
                <w:szCs w:val="22"/>
              </w:rPr>
            </w:pPr>
            <w:r w:rsidRPr="0017222B">
              <w:rPr>
                <w:sz w:val="22"/>
                <w:szCs w:val="22"/>
              </w:rPr>
              <w:t>As part of their clinical evaluation, 53 subjects referred for a 6MWT were included</w:t>
            </w:r>
            <w:r w:rsidR="00990E24">
              <w:rPr>
                <w:sz w:val="22"/>
                <w:szCs w:val="22"/>
              </w:rPr>
              <w:t xml:space="preserve"> in the study</w:t>
            </w:r>
            <w:r w:rsidRPr="0017222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066E9F">
              <w:rPr>
                <w:sz w:val="22"/>
                <w:szCs w:val="22"/>
              </w:rPr>
              <w:t>S</w:t>
            </w:r>
            <w:r w:rsidR="00B32D01" w:rsidRPr="007B5807">
              <w:rPr>
                <w:sz w:val="22"/>
                <w:szCs w:val="22"/>
              </w:rPr>
              <w:t xml:space="preserve">ubjects were fitted with </w:t>
            </w:r>
            <w:r w:rsidR="001A2B91">
              <w:rPr>
                <w:sz w:val="22"/>
                <w:szCs w:val="22"/>
              </w:rPr>
              <w:t xml:space="preserve">both </w:t>
            </w:r>
            <w:r w:rsidR="00B32D01" w:rsidRPr="007B5807">
              <w:rPr>
                <w:sz w:val="22"/>
                <w:szCs w:val="22"/>
              </w:rPr>
              <w:t>a</w:t>
            </w:r>
            <w:r w:rsidR="002B431A" w:rsidRPr="007B5807">
              <w:rPr>
                <w:sz w:val="22"/>
                <w:szCs w:val="22"/>
              </w:rPr>
              <w:t xml:space="preserve"> Bitmos sat801</w:t>
            </w:r>
            <w:r w:rsidR="0053799C" w:rsidRPr="007B5807">
              <w:rPr>
                <w:sz w:val="22"/>
                <w:szCs w:val="22"/>
                <w:vertAlign w:val="superscript"/>
              </w:rPr>
              <w:t>+</w:t>
            </w:r>
            <w:r w:rsidR="0053799C" w:rsidRPr="007B5807">
              <w:rPr>
                <w:sz w:val="22"/>
                <w:szCs w:val="22"/>
              </w:rPr>
              <w:t xml:space="preserve"> </w:t>
            </w:r>
            <w:r w:rsidR="00B32D01" w:rsidRPr="007B5807">
              <w:rPr>
                <w:sz w:val="22"/>
                <w:szCs w:val="22"/>
              </w:rPr>
              <w:t xml:space="preserve">forehead </w:t>
            </w:r>
            <w:r w:rsidR="005D7A20" w:rsidRPr="007B5807">
              <w:rPr>
                <w:sz w:val="22"/>
                <w:szCs w:val="22"/>
              </w:rPr>
              <w:t>probe (labelled H1</w:t>
            </w:r>
            <w:r w:rsidR="00975353" w:rsidRPr="007B5807">
              <w:rPr>
                <w:sz w:val="22"/>
                <w:szCs w:val="22"/>
              </w:rPr>
              <w:t>a</w:t>
            </w:r>
            <w:r w:rsidR="005D7A20" w:rsidRPr="007B5807">
              <w:rPr>
                <w:sz w:val="22"/>
                <w:szCs w:val="22"/>
              </w:rPr>
              <w:t xml:space="preserve">) </w:t>
            </w:r>
            <w:r w:rsidR="00B32D01" w:rsidRPr="007B5807">
              <w:rPr>
                <w:sz w:val="22"/>
                <w:szCs w:val="22"/>
              </w:rPr>
              <w:t>and finger probe</w:t>
            </w:r>
            <w:r w:rsidR="0053799C" w:rsidRPr="007B5807">
              <w:rPr>
                <w:sz w:val="22"/>
                <w:szCs w:val="22"/>
              </w:rPr>
              <w:t>,</w:t>
            </w:r>
            <w:r w:rsidR="00B32D01" w:rsidRPr="007B5807">
              <w:rPr>
                <w:sz w:val="22"/>
                <w:szCs w:val="22"/>
              </w:rPr>
              <w:t xml:space="preserve"> to allow for </w:t>
            </w:r>
            <w:r w:rsidR="001A2B91">
              <w:rPr>
                <w:sz w:val="22"/>
                <w:szCs w:val="22"/>
              </w:rPr>
              <w:t>simultaneous</w:t>
            </w:r>
            <w:r w:rsidR="00B32D01" w:rsidRPr="007B5807">
              <w:rPr>
                <w:sz w:val="22"/>
                <w:szCs w:val="22"/>
              </w:rPr>
              <w:t xml:space="preserve"> </w:t>
            </w:r>
            <w:r w:rsidR="00066E9F" w:rsidRPr="007B5807">
              <w:rPr>
                <w:sz w:val="22"/>
                <w:szCs w:val="22"/>
              </w:rPr>
              <w:t>SpO</w:t>
            </w:r>
            <w:r w:rsidR="00066E9F" w:rsidRPr="007B5807">
              <w:rPr>
                <w:sz w:val="22"/>
                <w:szCs w:val="22"/>
                <w:vertAlign w:val="subscript"/>
              </w:rPr>
              <w:t>2</w:t>
            </w:r>
            <w:r w:rsidR="007E2466">
              <w:rPr>
                <w:sz w:val="22"/>
                <w:szCs w:val="22"/>
                <w:vertAlign w:val="subscript"/>
              </w:rPr>
              <w:t xml:space="preserve"> </w:t>
            </w:r>
            <w:r w:rsidR="00B32D01" w:rsidRPr="007B5807">
              <w:rPr>
                <w:sz w:val="22"/>
                <w:szCs w:val="22"/>
              </w:rPr>
              <w:t>recording.</w:t>
            </w:r>
          </w:p>
          <w:p w14:paraId="6C68AC90" w14:textId="13CF6B26" w:rsidR="006D4713" w:rsidRPr="007B5807" w:rsidRDefault="00B32D01" w:rsidP="009C1987">
            <w:pPr>
              <w:pStyle w:val="Pa12"/>
              <w:rPr>
                <w:sz w:val="22"/>
                <w:szCs w:val="22"/>
              </w:rPr>
            </w:pPr>
            <w:r w:rsidRPr="007B5807">
              <w:rPr>
                <w:sz w:val="22"/>
                <w:szCs w:val="22"/>
              </w:rPr>
              <w:t>Further, the same pulse oximeter</w:t>
            </w:r>
            <w:r w:rsidR="00D546B3" w:rsidRPr="007B5807">
              <w:rPr>
                <w:sz w:val="22"/>
                <w:szCs w:val="22"/>
              </w:rPr>
              <w:t>s</w:t>
            </w:r>
            <w:r w:rsidRPr="007B5807">
              <w:rPr>
                <w:sz w:val="22"/>
                <w:szCs w:val="22"/>
              </w:rPr>
              <w:t xml:space="preserve"> with the </w:t>
            </w:r>
            <w:r w:rsidR="0017222B">
              <w:rPr>
                <w:sz w:val="22"/>
                <w:szCs w:val="22"/>
              </w:rPr>
              <w:t>inclusion</w:t>
            </w:r>
            <w:r w:rsidRPr="007B5807">
              <w:rPr>
                <w:sz w:val="22"/>
                <w:szCs w:val="22"/>
              </w:rPr>
              <w:t xml:space="preserve"> of a </w:t>
            </w:r>
            <w:r w:rsidR="0053799C" w:rsidRPr="007B5807">
              <w:rPr>
                <w:sz w:val="22"/>
                <w:szCs w:val="22"/>
              </w:rPr>
              <w:t xml:space="preserve">validating </w:t>
            </w:r>
            <w:r w:rsidRPr="007B5807">
              <w:rPr>
                <w:sz w:val="22"/>
                <w:szCs w:val="22"/>
              </w:rPr>
              <w:t>head probe</w:t>
            </w:r>
            <w:r w:rsidR="005D7A20" w:rsidRPr="007B5807">
              <w:rPr>
                <w:sz w:val="22"/>
                <w:szCs w:val="22"/>
              </w:rPr>
              <w:t xml:space="preserve"> (labelled H2)</w:t>
            </w:r>
            <w:r w:rsidR="007E2466">
              <w:rPr>
                <w:sz w:val="22"/>
                <w:szCs w:val="22"/>
              </w:rPr>
              <w:t>,</w:t>
            </w:r>
            <w:r w:rsidRPr="007B5807">
              <w:rPr>
                <w:sz w:val="22"/>
                <w:szCs w:val="22"/>
              </w:rPr>
              <w:t xml:space="preserve"> were fitted to </w:t>
            </w:r>
            <w:r w:rsidR="00945518" w:rsidRPr="007B5807">
              <w:rPr>
                <w:sz w:val="22"/>
                <w:szCs w:val="22"/>
              </w:rPr>
              <w:t xml:space="preserve">a new group of </w:t>
            </w:r>
            <w:r w:rsidRPr="007B5807">
              <w:rPr>
                <w:sz w:val="22"/>
                <w:szCs w:val="22"/>
              </w:rPr>
              <w:t>29 subjects referred for a</w:t>
            </w:r>
            <w:r w:rsidR="001A2B91">
              <w:rPr>
                <w:sz w:val="22"/>
                <w:szCs w:val="22"/>
              </w:rPr>
              <w:t xml:space="preserve"> resting</w:t>
            </w:r>
            <w:r w:rsidRPr="007B5807">
              <w:rPr>
                <w:sz w:val="22"/>
                <w:szCs w:val="22"/>
              </w:rPr>
              <w:t xml:space="preserve"> ABG. </w:t>
            </w:r>
            <w:r w:rsidR="00F7635C" w:rsidRPr="007B5807">
              <w:rPr>
                <w:sz w:val="22"/>
                <w:szCs w:val="22"/>
              </w:rPr>
              <w:t xml:space="preserve">The </w:t>
            </w:r>
            <w:r w:rsidRPr="007B5807">
              <w:rPr>
                <w:sz w:val="22"/>
                <w:szCs w:val="22"/>
              </w:rPr>
              <w:t>SpO</w:t>
            </w:r>
            <w:r w:rsidRPr="007B5807">
              <w:rPr>
                <w:sz w:val="22"/>
                <w:szCs w:val="22"/>
                <w:vertAlign w:val="subscript"/>
              </w:rPr>
              <w:t>2</w:t>
            </w:r>
            <w:r w:rsidRPr="007B5807">
              <w:rPr>
                <w:sz w:val="22"/>
                <w:szCs w:val="22"/>
              </w:rPr>
              <w:t xml:space="preserve"> recordings </w:t>
            </w:r>
            <w:r w:rsidR="00F7635C" w:rsidRPr="007B5807">
              <w:rPr>
                <w:sz w:val="22"/>
                <w:szCs w:val="22"/>
              </w:rPr>
              <w:t xml:space="preserve">from all probes </w:t>
            </w:r>
            <w:r w:rsidRPr="007B5807">
              <w:rPr>
                <w:sz w:val="22"/>
                <w:szCs w:val="22"/>
              </w:rPr>
              <w:t>were compared to the arterial oxygen saturation (SaO</w:t>
            </w:r>
            <w:r w:rsidRPr="007B5807">
              <w:rPr>
                <w:sz w:val="22"/>
                <w:szCs w:val="22"/>
                <w:vertAlign w:val="subscript"/>
              </w:rPr>
              <w:t>2</w:t>
            </w:r>
            <w:r w:rsidRPr="007B5807">
              <w:rPr>
                <w:sz w:val="22"/>
                <w:szCs w:val="22"/>
              </w:rPr>
              <w:t>).</w:t>
            </w:r>
          </w:p>
          <w:p w14:paraId="5D2EF521" w14:textId="37CA776A" w:rsidR="00975353" w:rsidRPr="007B5807" w:rsidRDefault="007B5807" w:rsidP="00975353">
            <w:pPr>
              <w:pStyle w:val="Default"/>
              <w:rPr>
                <w:color w:val="auto"/>
                <w:sz w:val="22"/>
                <w:szCs w:val="22"/>
              </w:rPr>
            </w:pPr>
            <w:r w:rsidRPr="007B5807">
              <w:rPr>
                <w:color w:val="auto"/>
                <w:sz w:val="22"/>
                <w:szCs w:val="22"/>
              </w:rPr>
              <w:t xml:space="preserve">Amidst </w:t>
            </w:r>
            <w:r w:rsidR="00975353" w:rsidRPr="007B5807">
              <w:rPr>
                <w:color w:val="auto"/>
                <w:sz w:val="22"/>
                <w:szCs w:val="22"/>
              </w:rPr>
              <w:t xml:space="preserve">data collection, the service agent withdrew </w:t>
            </w:r>
            <w:r w:rsidRPr="007B5807">
              <w:rPr>
                <w:color w:val="auto"/>
                <w:sz w:val="22"/>
                <w:szCs w:val="22"/>
              </w:rPr>
              <w:t xml:space="preserve">probe </w:t>
            </w:r>
            <w:r w:rsidR="00975353" w:rsidRPr="007B5807">
              <w:rPr>
                <w:color w:val="auto"/>
                <w:sz w:val="22"/>
                <w:szCs w:val="22"/>
              </w:rPr>
              <w:t>H1</w:t>
            </w:r>
            <w:r w:rsidR="004878FA">
              <w:rPr>
                <w:color w:val="auto"/>
                <w:sz w:val="22"/>
                <w:szCs w:val="22"/>
              </w:rPr>
              <w:t>a</w:t>
            </w:r>
            <w:r w:rsidR="00975353" w:rsidRPr="007B5807">
              <w:rPr>
                <w:color w:val="auto"/>
                <w:sz w:val="22"/>
                <w:szCs w:val="22"/>
              </w:rPr>
              <w:t xml:space="preserve"> for inspection</w:t>
            </w:r>
            <w:r w:rsidR="00F13206">
              <w:rPr>
                <w:color w:val="auto"/>
                <w:sz w:val="22"/>
                <w:szCs w:val="22"/>
              </w:rPr>
              <w:t xml:space="preserve">, </w:t>
            </w:r>
            <w:r w:rsidR="00975353" w:rsidRPr="007B5807">
              <w:rPr>
                <w:color w:val="auto"/>
                <w:sz w:val="22"/>
                <w:szCs w:val="22"/>
              </w:rPr>
              <w:t xml:space="preserve">and provided a new </w:t>
            </w:r>
            <w:r w:rsidR="004878FA">
              <w:rPr>
                <w:color w:val="auto"/>
                <w:sz w:val="22"/>
                <w:szCs w:val="22"/>
              </w:rPr>
              <w:t>fore</w:t>
            </w:r>
            <w:r w:rsidR="00975353" w:rsidRPr="007B5807">
              <w:rPr>
                <w:color w:val="auto"/>
                <w:sz w:val="22"/>
                <w:szCs w:val="22"/>
              </w:rPr>
              <w:t>head p</w:t>
            </w:r>
            <w:r w:rsidRPr="007B5807">
              <w:rPr>
                <w:color w:val="auto"/>
                <w:sz w:val="22"/>
                <w:szCs w:val="22"/>
              </w:rPr>
              <w:t>r</w:t>
            </w:r>
            <w:r w:rsidR="00975353" w:rsidRPr="007B5807">
              <w:rPr>
                <w:color w:val="auto"/>
                <w:sz w:val="22"/>
                <w:szCs w:val="22"/>
              </w:rPr>
              <w:t>obe (</w:t>
            </w:r>
            <w:r w:rsidRPr="007B5807">
              <w:rPr>
                <w:color w:val="auto"/>
                <w:sz w:val="22"/>
                <w:szCs w:val="22"/>
              </w:rPr>
              <w:t xml:space="preserve">labelled </w:t>
            </w:r>
            <w:r w:rsidR="00975353" w:rsidRPr="007B5807">
              <w:rPr>
                <w:color w:val="auto"/>
                <w:sz w:val="22"/>
                <w:szCs w:val="22"/>
              </w:rPr>
              <w:t>H1b)</w:t>
            </w:r>
            <w:r w:rsidRPr="007B5807">
              <w:rPr>
                <w:color w:val="auto"/>
                <w:sz w:val="22"/>
                <w:szCs w:val="22"/>
              </w:rPr>
              <w:t>.</w:t>
            </w:r>
          </w:p>
          <w:p w14:paraId="5F7BB1B2" w14:textId="77777777" w:rsidR="0030104B" w:rsidRPr="007B5807" w:rsidRDefault="0030104B" w:rsidP="0030104B">
            <w:pPr>
              <w:pStyle w:val="Default"/>
              <w:rPr>
                <w:sz w:val="22"/>
                <w:szCs w:val="22"/>
              </w:rPr>
            </w:pPr>
          </w:p>
          <w:p w14:paraId="6C68AC91" w14:textId="77777777" w:rsidR="006D4713" w:rsidRPr="007B5807" w:rsidRDefault="006D4713" w:rsidP="009C1987">
            <w:pPr>
              <w:pStyle w:val="Pa12"/>
              <w:rPr>
                <w:rStyle w:val="A4"/>
                <w:b/>
                <w:bCs/>
              </w:rPr>
            </w:pPr>
            <w:r w:rsidRPr="007B5807">
              <w:rPr>
                <w:rStyle w:val="A4"/>
                <w:b/>
                <w:bCs/>
              </w:rPr>
              <w:t xml:space="preserve">Results: </w:t>
            </w:r>
          </w:p>
          <w:p w14:paraId="6B085C6A" w14:textId="51CB2C98" w:rsidR="00E403E6" w:rsidRDefault="002B431A" w:rsidP="002B431A">
            <w:pPr>
              <w:pStyle w:val="Default"/>
              <w:rPr>
                <w:sz w:val="22"/>
                <w:szCs w:val="22"/>
              </w:rPr>
            </w:pPr>
            <w:r w:rsidRPr="007B5807">
              <w:rPr>
                <w:sz w:val="22"/>
                <w:szCs w:val="22"/>
              </w:rPr>
              <w:t xml:space="preserve">The </w:t>
            </w:r>
            <w:r w:rsidR="003C72C7" w:rsidRPr="007B5807">
              <w:rPr>
                <w:sz w:val="22"/>
                <w:szCs w:val="22"/>
              </w:rPr>
              <w:t>H1</w:t>
            </w:r>
            <w:r w:rsidR="00975353" w:rsidRPr="007B5807">
              <w:rPr>
                <w:sz w:val="22"/>
                <w:szCs w:val="22"/>
              </w:rPr>
              <w:t>a</w:t>
            </w:r>
            <w:r w:rsidRPr="007B5807">
              <w:rPr>
                <w:sz w:val="22"/>
                <w:szCs w:val="22"/>
              </w:rPr>
              <w:t xml:space="preserve"> probe measured </w:t>
            </w:r>
            <w:r w:rsidR="0017222B">
              <w:rPr>
                <w:sz w:val="22"/>
                <w:szCs w:val="22"/>
              </w:rPr>
              <w:t xml:space="preserve">greater </w:t>
            </w:r>
            <w:r w:rsidRPr="007B5807">
              <w:rPr>
                <w:sz w:val="22"/>
                <w:szCs w:val="22"/>
              </w:rPr>
              <w:t>SpO</w:t>
            </w:r>
            <w:r w:rsidRPr="00D3293B">
              <w:rPr>
                <w:sz w:val="22"/>
                <w:szCs w:val="22"/>
                <w:vertAlign w:val="subscript"/>
              </w:rPr>
              <w:t>2</w:t>
            </w:r>
            <w:r w:rsidRPr="007B5807">
              <w:rPr>
                <w:sz w:val="22"/>
                <w:szCs w:val="22"/>
              </w:rPr>
              <w:t xml:space="preserve"> </w:t>
            </w:r>
            <w:r w:rsidR="0017222B">
              <w:rPr>
                <w:sz w:val="22"/>
                <w:szCs w:val="22"/>
              </w:rPr>
              <w:t xml:space="preserve">values </w:t>
            </w:r>
            <w:r w:rsidRPr="007B5807">
              <w:rPr>
                <w:sz w:val="22"/>
                <w:szCs w:val="22"/>
              </w:rPr>
              <w:t>both pre and post 6MW</w:t>
            </w:r>
            <w:r w:rsidR="00E61061">
              <w:rPr>
                <w:sz w:val="22"/>
                <w:szCs w:val="22"/>
              </w:rPr>
              <w:t>T</w:t>
            </w:r>
            <w:r w:rsidR="007E6286">
              <w:rPr>
                <w:sz w:val="22"/>
                <w:szCs w:val="22"/>
              </w:rPr>
              <w:t xml:space="preserve"> </w:t>
            </w:r>
            <w:r w:rsidR="007E6286" w:rsidRPr="007B5807">
              <w:rPr>
                <w:sz w:val="22"/>
                <w:szCs w:val="22"/>
              </w:rPr>
              <w:t>(p&lt;0.001)</w:t>
            </w:r>
            <w:r w:rsidRPr="007B5807">
              <w:rPr>
                <w:sz w:val="22"/>
                <w:szCs w:val="22"/>
              </w:rPr>
              <w:t xml:space="preserve"> compared to the finger probe</w:t>
            </w:r>
            <w:r w:rsidR="002F5849">
              <w:rPr>
                <w:sz w:val="22"/>
                <w:szCs w:val="22"/>
              </w:rPr>
              <w:t>, w</w:t>
            </w:r>
            <w:r w:rsidR="006953D7">
              <w:rPr>
                <w:sz w:val="22"/>
                <w:szCs w:val="22"/>
              </w:rPr>
              <w:t>ith a mean difference of 4.04% pre</w:t>
            </w:r>
            <w:r w:rsidR="002F5849">
              <w:rPr>
                <w:sz w:val="22"/>
                <w:szCs w:val="22"/>
              </w:rPr>
              <w:t xml:space="preserve"> </w:t>
            </w:r>
            <w:r w:rsidR="006953D7">
              <w:rPr>
                <w:sz w:val="22"/>
                <w:szCs w:val="22"/>
              </w:rPr>
              <w:t>and 3.4</w:t>
            </w:r>
            <w:r w:rsidR="00A2269A">
              <w:rPr>
                <w:sz w:val="22"/>
                <w:szCs w:val="22"/>
              </w:rPr>
              <w:t>8</w:t>
            </w:r>
            <w:r w:rsidR="006953D7">
              <w:rPr>
                <w:sz w:val="22"/>
                <w:szCs w:val="22"/>
              </w:rPr>
              <w:t>% po</w:t>
            </w:r>
            <w:r w:rsidR="002F5849">
              <w:rPr>
                <w:sz w:val="22"/>
                <w:szCs w:val="22"/>
              </w:rPr>
              <w:t>st</w:t>
            </w:r>
            <w:r w:rsidR="00E403E6">
              <w:rPr>
                <w:sz w:val="22"/>
                <w:szCs w:val="22"/>
              </w:rPr>
              <w:t xml:space="preserve"> 6MWT</w:t>
            </w:r>
            <w:r w:rsidR="000A2B78">
              <w:rPr>
                <w:sz w:val="22"/>
                <w:szCs w:val="22"/>
              </w:rPr>
              <w:t>.</w:t>
            </w:r>
            <w:r w:rsidR="002F5849">
              <w:rPr>
                <w:sz w:val="22"/>
                <w:szCs w:val="22"/>
              </w:rPr>
              <w:t xml:space="preserve"> </w:t>
            </w:r>
            <w:r w:rsidRPr="007B5807">
              <w:rPr>
                <w:sz w:val="22"/>
                <w:szCs w:val="22"/>
              </w:rPr>
              <w:t xml:space="preserve">The </w:t>
            </w:r>
            <w:r w:rsidR="006953D7">
              <w:rPr>
                <w:sz w:val="22"/>
                <w:szCs w:val="22"/>
              </w:rPr>
              <w:t xml:space="preserve">H1b </w:t>
            </w:r>
            <w:r w:rsidRPr="007B5807">
              <w:rPr>
                <w:sz w:val="22"/>
                <w:szCs w:val="22"/>
              </w:rPr>
              <w:t xml:space="preserve">probe measured </w:t>
            </w:r>
            <w:r w:rsidR="0017222B">
              <w:rPr>
                <w:sz w:val="22"/>
                <w:szCs w:val="22"/>
              </w:rPr>
              <w:t>greater</w:t>
            </w:r>
            <w:r w:rsidRPr="007B5807">
              <w:rPr>
                <w:sz w:val="22"/>
                <w:szCs w:val="22"/>
              </w:rPr>
              <w:t xml:space="preserve"> SpO</w:t>
            </w:r>
            <w:r w:rsidRPr="00D3293B">
              <w:rPr>
                <w:sz w:val="22"/>
                <w:szCs w:val="22"/>
                <w:vertAlign w:val="subscript"/>
              </w:rPr>
              <w:t>2</w:t>
            </w:r>
            <w:r w:rsidRPr="007B5807">
              <w:rPr>
                <w:sz w:val="22"/>
                <w:szCs w:val="22"/>
              </w:rPr>
              <w:t xml:space="preserve"> </w:t>
            </w:r>
            <w:r w:rsidR="0017222B">
              <w:rPr>
                <w:sz w:val="22"/>
                <w:szCs w:val="22"/>
              </w:rPr>
              <w:t>values</w:t>
            </w:r>
            <w:r w:rsidRPr="007B5807">
              <w:rPr>
                <w:sz w:val="22"/>
                <w:szCs w:val="22"/>
              </w:rPr>
              <w:t xml:space="preserve"> pre and post</w:t>
            </w:r>
            <w:r w:rsidR="00E403E6">
              <w:rPr>
                <w:sz w:val="22"/>
                <w:szCs w:val="22"/>
              </w:rPr>
              <w:t xml:space="preserve"> 6MWT</w:t>
            </w:r>
            <w:r w:rsidRPr="007B5807">
              <w:rPr>
                <w:sz w:val="22"/>
                <w:szCs w:val="22"/>
              </w:rPr>
              <w:t xml:space="preserve"> (p&lt;0.001)</w:t>
            </w:r>
            <w:r w:rsidR="00F13206">
              <w:rPr>
                <w:sz w:val="22"/>
                <w:szCs w:val="22"/>
              </w:rPr>
              <w:t xml:space="preserve"> </w:t>
            </w:r>
            <w:r w:rsidRPr="007B5807">
              <w:rPr>
                <w:sz w:val="22"/>
                <w:szCs w:val="22"/>
              </w:rPr>
              <w:t>compared to the finger probe</w:t>
            </w:r>
            <w:r w:rsidR="002F5849">
              <w:rPr>
                <w:sz w:val="22"/>
                <w:szCs w:val="22"/>
              </w:rPr>
              <w:t>, w</w:t>
            </w:r>
            <w:r w:rsidR="006953D7">
              <w:rPr>
                <w:sz w:val="22"/>
                <w:szCs w:val="22"/>
              </w:rPr>
              <w:t>ith a mean difference of 2.8</w:t>
            </w:r>
            <w:r w:rsidR="00A2269A">
              <w:rPr>
                <w:sz w:val="22"/>
                <w:szCs w:val="22"/>
              </w:rPr>
              <w:t>8</w:t>
            </w:r>
            <w:r w:rsidR="002F5849">
              <w:rPr>
                <w:sz w:val="22"/>
                <w:szCs w:val="22"/>
              </w:rPr>
              <w:t>% pre</w:t>
            </w:r>
            <w:r w:rsidR="00E61061">
              <w:rPr>
                <w:sz w:val="22"/>
                <w:szCs w:val="22"/>
              </w:rPr>
              <w:t xml:space="preserve"> </w:t>
            </w:r>
            <w:r w:rsidR="006953D7">
              <w:rPr>
                <w:sz w:val="22"/>
                <w:szCs w:val="22"/>
              </w:rPr>
              <w:t>and 3.5</w:t>
            </w:r>
            <w:r w:rsidR="002F5849">
              <w:rPr>
                <w:sz w:val="22"/>
                <w:szCs w:val="22"/>
              </w:rPr>
              <w:t>%</w:t>
            </w:r>
            <w:r w:rsidR="006953D7">
              <w:rPr>
                <w:sz w:val="22"/>
                <w:szCs w:val="22"/>
              </w:rPr>
              <w:t xml:space="preserve"> post</w:t>
            </w:r>
            <w:r w:rsidR="00E403E6">
              <w:rPr>
                <w:sz w:val="22"/>
                <w:szCs w:val="22"/>
              </w:rPr>
              <w:t xml:space="preserve"> 6MWT</w:t>
            </w:r>
            <w:r w:rsidR="006953D7">
              <w:rPr>
                <w:sz w:val="22"/>
                <w:szCs w:val="22"/>
              </w:rPr>
              <w:t>.</w:t>
            </w:r>
            <w:r w:rsidR="00DE0BFF">
              <w:rPr>
                <w:sz w:val="22"/>
                <w:szCs w:val="22"/>
              </w:rPr>
              <w:t xml:space="preserve"> </w:t>
            </w:r>
          </w:p>
          <w:p w14:paraId="24B21DDC" w14:textId="1602D3B8" w:rsidR="009D1BA3" w:rsidRDefault="00BA13A3" w:rsidP="002B431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</w:t>
            </w:r>
            <w:r w:rsidRPr="007B5807">
              <w:rPr>
                <w:sz w:val="22"/>
                <w:szCs w:val="22"/>
              </w:rPr>
              <w:t>SpO</w:t>
            </w:r>
            <w:r w:rsidRPr="00D3293B">
              <w:rPr>
                <w:sz w:val="22"/>
                <w:szCs w:val="22"/>
                <w:vertAlign w:val="subscript"/>
              </w:rPr>
              <w:t>2</w:t>
            </w:r>
            <w:r>
              <w:rPr>
                <w:sz w:val="22"/>
                <w:szCs w:val="22"/>
                <w:vertAlign w:val="subscript"/>
              </w:rPr>
              <w:t xml:space="preserve"> </w:t>
            </w:r>
            <w:r>
              <w:rPr>
                <w:sz w:val="22"/>
                <w:szCs w:val="22"/>
              </w:rPr>
              <w:t xml:space="preserve">recordings from H1a are significantly </w:t>
            </w:r>
            <w:r w:rsidR="0017222B">
              <w:rPr>
                <w:sz w:val="22"/>
                <w:szCs w:val="22"/>
              </w:rPr>
              <w:t>greater</w:t>
            </w:r>
            <w:r>
              <w:rPr>
                <w:sz w:val="22"/>
                <w:szCs w:val="22"/>
              </w:rPr>
              <w:t xml:space="preserve"> than </w:t>
            </w:r>
            <w:r w:rsidRPr="007B5807">
              <w:rPr>
                <w:sz w:val="22"/>
                <w:szCs w:val="22"/>
              </w:rPr>
              <w:t>SaO</w:t>
            </w:r>
            <w:r w:rsidRPr="007B5807">
              <w:rPr>
                <w:sz w:val="22"/>
                <w:szCs w:val="22"/>
                <w:vertAlign w:val="subscript"/>
              </w:rPr>
              <w:t>2</w:t>
            </w:r>
            <w:r>
              <w:rPr>
                <w:sz w:val="22"/>
                <w:szCs w:val="22"/>
              </w:rPr>
              <w:t xml:space="preserve"> (p&lt;0.001), with a mean difference of 4.</w:t>
            </w:r>
            <w:r w:rsidR="002562F9">
              <w:rPr>
                <w:sz w:val="22"/>
                <w:szCs w:val="22"/>
              </w:rPr>
              <w:t>86</w:t>
            </w:r>
            <w:r>
              <w:rPr>
                <w:sz w:val="22"/>
                <w:szCs w:val="22"/>
              </w:rPr>
              <w:t xml:space="preserve">%. H1b </w:t>
            </w:r>
            <w:r w:rsidRPr="007B5807">
              <w:rPr>
                <w:sz w:val="22"/>
                <w:szCs w:val="22"/>
              </w:rPr>
              <w:t>SpO</w:t>
            </w:r>
            <w:r w:rsidRPr="00D3293B">
              <w:rPr>
                <w:sz w:val="22"/>
                <w:szCs w:val="22"/>
                <w:vertAlign w:val="subscript"/>
              </w:rPr>
              <w:t>2</w:t>
            </w:r>
            <w:r>
              <w:rPr>
                <w:sz w:val="22"/>
                <w:szCs w:val="22"/>
              </w:rPr>
              <w:t xml:space="preserve"> is </w:t>
            </w:r>
            <w:r w:rsidR="0017222B">
              <w:rPr>
                <w:sz w:val="22"/>
                <w:szCs w:val="22"/>
              </w:rPr>
              <w:t>greater</w:t>
            </w:r>
            <w:r>
              <w:rPr>
                <w:sz w:val="22"/>
                <w:szCs w:val="22"/>
              </w:rPr>
              <w:t xml:space="preserve"> than </w:t>
            </w:r>
            <w:r w:rsidRPr="007B5807">
              <w:rPr>
                <w:sz w:val="22"/>
                <w:szCs w:val="22"/>
              </w:rPr>
              <w:t>SaO</w:t>
            </w:r>
            <w:r w:rsidRPr="007B5807">
              <w:rPr>
                <w:sz w:val="22"/>
                <w:szCs w:val="22"/>
                <w:vertAlign w:val="subscript"/>
              </w:rPr>
              <w:t>2</w:t>
            </w:r>
            <w:r>
              <w:rPr>
                <w:sz w:val="22"/>
                <w:szCs w:val="22"/>
              </w:rPr>
              <w:t xml:space="preserve"> (p&lt;0.05) with a mean difference of 4.4</w:t>
            </w:r>
            <w:r w:rsidR="00313FBE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%. </w:t>
            </w:r>
            <w:r w:rsidR="00820978">
              <w:rPr>
                <w:sz w:val="22"/>
                <w:szCs w:val="22"/>
              </w:rPr>
              <w:t>No significant</w:t>
            </w:r>
            <w:r w:rsidR="008C6C8E" w:rsidRPr="007B5807">
              <w:rPr>
                <w:sz w:val="22"/>
                <w:szCs w:val="22"/>
              </w:rPr>
              <w:t xml:space="preserve"> SpO</w:t>
            </w:r>
            <w:r w:rsidR="008C6C8E" w:rsidRPr="00D3293B">
              <w:rPr>
                <w:sz w:val="22"/>
                <w:szCs w:val="22"/>
                <w:vertAlign w:val="subscript"/>
              </w:rPr>
              <w:t>2</w:t>
            </w:r>
            <w:r w:rsidR="00DE0BFF">
              <w:rPr>
                <w:sz w:val="22"/>
                <w:szCs w:val="22"/>
              </w:rPr>
              <w:t xml:space="preserve"> </w:t>
            </w:r>
            <w:r w:rsidR="00820978">
              <w:rPr>
                <w:sz w:val="22"/>
                <w:szCs w:val="22"/>
              </w:rPr>
              <w:t xml:space="preserve">differences </w:t>
            </w:r>
            <w:r w:rsidR="00DE0BFF">
              <w:rPr>
                <w:sz w:val="22"/>
                <w:szCs w:val="22"/>
              </w:rPr>
              <w:t>were identified</w:t>
            </w:r>
            <w:r w:rsidR="00820978">
              <w:rPr>
                <w:sz w:val="22"/>
                <w:szCs w:val="22"/>
              </w:rPr>
              <w:t xml:space="preserve"> between </w:t>
            </w:r>
            <w:r w:rsidR="008C6C8E" w:rsidRPr="007B5807">
              <w:rPr>
                <w:sz w:val="22"/>
                <w:szCs w:val="22"/>
              </w:rPr>
              <w:t>SaO</w:t>
            </w:r>
            <w:r w:rsidR="008C6C8E" w:rsidRPr="007B5807">
              <w:rPr>
                <w:sz w:val="22"/>
                <w:szCs w:val="22"/>
                <w:vertAlign w:val="subscript"/>
              </w:rPr>
              <w:t>2</w:t>
            </w:r>
            <w:r w:rsidR="009D1BA3">
              <w:rPr>
                <w:sz w:val="22"/>
                <w:szCs w:val="22"/>
              </w:rPr>
              <w:t xml:space="preserve"> </w:t>
            </w:r>
            <w:r w:rsidR="00DE0BFF">
              <w:rPr>
                <w:sz w:val="22"/>
                <w:szCs w:val="22"/>
              </w:rPr>
              <w:t>and</w:t>
            </w:r>
            <w:r w:rsidR="009D1BA3">
              <w:rPr>
                <w:sz w:val="22"/>
                <w:szCs w:val="22"/>
              </w:rPr>
              <w:t xml:space="preserve"> </w:t>
            </w:r>
            <w:r w:rsidR="00DE0BFF">
              <w:rPr>
                <w:sz w:val="22"/>
                <w:szCs w:val="22"/>
              </w:rPr>
              <w:t xml:space="preserve">the </w:t>
            </w:r>
            <w:r w:rsidR="009D1BA3">
              <w:rPr>
                <w:sz w:val="22"/>
                <w:szCs w:val="22"/>
              </w:rPr>
              <w:t xml:space="preserve">finger </w:t>
            </w:r>
            <w:r w:rsidR="00DE0BFF">
              <w:rPr>
                <w:sz w:val="22"/>
                <w:szCs w:val="22"/>
              </w:rPr>
              <w:t>probe</w:t>
            </w:r>
            <w:r w:rsidR="005512D3">
              <w:rPr>
                <w:sz w:val="22"/>
                <w:szCs w:val="22"/>
              </w:rPr>
              <w:t xml:space="preserve">, </w:t>
            </w:r>
            <w:r w:rsidR="007E6286">
              <w:rPr>
                <w:sz w:val="22"/>
                <w:szCs w:val="22"/>
              </w:rPr>
              <w:t xml:space="preserve">or </w:t>
            </w:r>
            <w:r w:rsidR="00990E24">
              <w:rPr>
                <w:sz w:val="22"/>
                <w:szCs w:val="22"/>
              </w:rPr>
              <w:t xml:space="preserve">between </w:t>
            </w:r>
            <w:r w:rsidR="005F6433">
              <w:rPr>
                <w:sz w:val="22"/>
                <w:szCs w:val="22"/>
              </w:rPr>
              <w:t>H1b and H2</w:t>
            </w:r>
            <w:r w:rsidR="005512D3">
              <w:rPr>
                <w:sz w:val="22"/>
                <w:szCs w:val="22"/>
              </w:rPr>
              <w:t xml:space="preserve">. </w:t>
            </w:r>
          </w:p>
          <w:p w14:paraId="3105E2BA" w14:textId="77777777" w:rsidR="009D1BA3" w:rsidRPr="007B5807" w:rsidRDefault="009D1BA3" w:rsidP="002B431A">
            <w:pPr>
              <w:pStyle w:val="Default"/>
              <w:rPr>
                <w:sz w:val="22"/>
                <w:szCs w:val="22"/>
              </w:rPr>
            </w:pPr>
          </w:p>
          <w:p w14:paraId="6C68AC95" w14:textId="19EF363A" w:rsidR="006D4713" w:rsidRDefault="006D4713" w:rsidP="009C1987">
            <w:pPr>
              <w:pStyle w:val="Pa12"/>
              <w:rPr>
                <w:rStyle w:val="A4"/>
                <w:b/>
                <w:bCs/>
              </w:rPr>
            </w:pPr>
            <w:r w:rsidRPr="007B5807">
              <w:rPr>
                <w:rStyle w:val="A4"/>
                <w:b/>
                <w:bCs/>
              </w:rPr>
              <w:t xml:space="preserve">Conclusion: </w:t>
            </w:r>
          </w:p>
          <w:p w14:paraId="2672B8F3" w14:textId="3E703A24" w:rsidR="00334119" w:rsidRDefault="00334119" w:rsidP="00536C54">
            <w:pPr>
              <w:rPr>
                <w:rFonts w:ascii="Arial" w:hAnsi="Arial" w:cs="Arial"/>
                <w:sz w:val="22"/>
                <w:szCs w:val="22"/>
              </w:rPr>
            </w:pPr>
            <w:r w:rsidRPr="00024BDD">
              <w:rPr>
                <w:rFonts w:ascii="Arial" w:hAnsi="Arial" w:cs="Arial"/>
                <w:sz w:val="22"/>
                <w:szCs w:val="22"/>
              </w:rPr>
              <w:t>The statistically significant SpO2 differences found in this study raises concern as to clinical intervention arising from 6MWT results.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36C54">
              <w:rPr>
                <w:rFonts w:ascii="Arial" w:hAnsi="Arial" w:cs="Arial"/>
                <w:sz w:val="22"/>
                <w:szCs w:val="22"/>
              </w:rPr>
              <w:t>More</w:t>
            </w:r>
            <w:r>
              <w:rPr>
                <w:rFonts w:ascii="Arial" w:hAnsi="Arial" w:cs="Arial"/>
                <w:sz w:val="22"/>
                <w:szCs w:val="22"/>
              </w:rPr>
              <w:t xml:space="preserve"> reliable measures such as ABG should be used in conjunction with pulse oximetry</w:t>
            </w:r>
            <w:r w:rsidR="00536C54">
              <w:rPr>
                <w:rFonts w:ascii="Arial" w:hAnsi="Arial" w:cs="Arial"/>
                <w:sz w:val="22"/>
                <w:szCs w:val="22"/>
              </w:rPr>
              <w:t>, where appropriate.</w:t>
            </w:r>
          </w:p>
          <w:p w14:paraId="14EA2AEE" w14:textId="77777777" w:rsidR="00334119" w:rsidRPr="007B5807" w:rsidRDefault="00334119" w:rsidP="002C7F5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657611" w14:textId="21348C15" w:rsidR="00143DBE" w:rsidRDefault="006D4713" w:rsidP="00B32D01">
            <w:pPr>
              <w:pStyle w:val="Pa12"/>
              <w:rPr>
                <w:rStyle w:val="A4"/>
                <w:b/>
                <w:bCs/>
              </w:rPr>
            </w:pPr>
            <w:r w:rsidRPr="007B5807">
              <w:rPr>
                <w:rStyle w:val="A4"/>
                <w:b/>
                <w:bCs/>
              </w:rPr>
              <w:t>Key Words</w:t>
            </w:r>
            <w:r w:rsidRPr="007B5807">
              <w:rPr>
                <w:rStyle w:val="A4"/>
                <w:b/>
              </w:rPr>
              <w:t>:</w:t>
            </w:r>
            <w:r w:rsidRPr="007B5807">
              <w:rPr>
                <w:rStyle w:val="A4"/>
              </w:rPr>
              <w:t xml:space="preserve"> </w:t>
            </w:r>
            <w:r w:rsidR="00C91C8C" w:rsidRPr="007B5807">
              <w:rPr>
                <w:sz w:val="22"/>
                <w:szCs w:val="22"/>
              </w:rPr>
              <w:br/>
            </w:r>
            <w:r w:rsidR="00DF449E" w:rsidRPr="007B5807">
              <w:rPr>
                <w:sz w:val="22"/>
                <w:szCs w:val="22"/>
              </w:rPr>
              <w:t>Six-minute</w:t>
            </w:r>
            <w:r w:rsidR="00B32D01" w:rsidRPr="007B5807">
              <w:rPr>
                <w:sz w:val="22"/>
                <w:szCs w:val="22"/>
              </w:rPr>
              <w:t xml:space="preserve"> walk test, Arterial blood gas, Pulse oximetry</w:t>
            </w:r>
            <w:r w:rsidR="00D06FEB" w:rsidRPr="007B5807">
              <w:rPr>
                <w:sz w:val="22"/>
                <w:szCs w:val="22"/>
              </w:rPr>
              <w:t>, Oxygen saturation</w:t>
            </w:r>
            <w:r w:rsidR="00C91C8C">
              <w:rPr>
                <w:sz w:val="22"/>
                <w:szCs w:val="22"/>
              </w:rPr>
              <w:br/>
            </w:r>
          </w:p>
          <w:p w14:paraId="726F66A1" w14:textId="77777777" w:rsidR="00143DBE" w:rsidRDefault="00143DBE" w:rsidP="00B32D01">
            <w:pPr>
              <w:pStyle w:val="Pa12"/>
              <w:rPr>
                <w:rStyle w:val="A4"/>
                <w:b/>
                <w:bCs/>
              </w:rPr>
            </w:pPr>
          </w:p>
          <w:p w14:paraId="1BDFD889" w14:textId="77777777" w:rsidR="00143DBE" w:rsidRDefault="00143DBE" w:rsidP="00B32D01">
            <w:pPr>
              <w:pStyle w:val="Pa12"/>
              <w:rPr>
                <w:rStyle w:val="A4"/>
                <w:b/>
                <w:bCs/>
              </w:rPr>
            </w:pPr>
          </w:p>
          <w:p w14:paraId="7582C30D" w14:textId="77777777" w:rsidR="00143DBE" w:rsidRDefault="00143DBE" w:rsidP="00B32D01">
            <w:pPr>
              <w:pStyle w:val="Pa12"/>
              <w:rPr>
                <w:rStyle w:val="A4"/>
                <w:b/>
                <w:bCs/>
              </w:rPr>
            </w:pPr>
          </w:p>
          <w:p w14:paraId="3481CE46" w14:textId="77777777" w:rsidR="00143DBE" w:rsidRDefault="00143DBE" w:rsidP="00B32D01">
            <w:pPr>
              <w:pStyle w:val="Pa12"/>
              <w:rPr>
                <w:rStyle w:val="A4"/>
                <w:b/>
                <w:bCs/>
              </w:rPr>
            </w:pPr>
          </w:p>
          <w:p w14:paraId="72D31357" w14:textId="77777777" w:rsidR="00143DBE" w:rsidRDefault="00143DBE" w:rsidP="00B32D01">
            <w:pPr>
              <w:pStyle w:val="Pa12"/>
              <w:rPr>
                <w:rStyle w:val="A4"/>
                <w:b/>
                <w:bCs/>
              </w:rPr>
            </w:pPr>
          </w:p>
          <w:p w14:paraId="2699EE7D" w14:textId="77777777" w:rsidR="00143DBE" w:rsidRDefault="00143DBE" w:rsidP="00B32D01">
            <w:pPr>
              <w:pStyle w:val="Pa12"/>
              <w:rPr>
                <w:rStyle w:val="A4"/>
                <w:b/>
                <w:bCs/>
              </w:rPr>
            </w:pPr>
          </w:p>
          <w:p w14:paraId="7A5EEAE0" w14:textId="77777777" w:rsidR="00143DBE" w:rsidRDefault="00143DBE" w:rsidP="00B32D01">
            <w:pPr>
              <w:pStyle w:val="Pa12"/>
              <w:rPr>
                <w:rStyle w:val="A4"/>
                <w:b/>
                <w:bCs/>
              </w:rPr>
            </w:pPr>
          </w:p>
          <w:p w14:paraId="6C68AC9A" w14:textId="66EDCC0B" w:rsidR="006D4713" w:rsidRPr="00B32D01" w:rsidRDefault="006D4713" w:rsidP="00B32D01">
            <w:pPr>
              <w:pStyle w:val="Pa12"/>
              <w:rPr>
                <w:rStyle w:val="A4"/>
              </w:rPr>
            </w:pPr>
            <w:r w:rsidRPr="0050053A">
              <w:rPr>
                <w:rStyle w:val="A4"/>
                <w:b/>
                <w:bCs/>
              </w:rPr>
              <w:t xml:space="preserve">Nomination for </w:t>
            </w:r>
            <w:r w:rsidR="00361F7E">
              <w:rPr>
                <w:rStyle w:val="A4"/>
                <w:b/>
                <w:bCs/>
              </w:rPr>
              <w:t xml:space="preserve">New </w:t>
            </w:r>
            <w:r w:rsidRPr="0050053A">
              <w:rPr>
                <w:rStyle w:val="A4"/>
                <w:b/>
                <w:bCs/>
              </w:rPr>
              <w:t>Investigator Award</w:t>
            </w:r>
          </w:p>
          <w:p w14:paraId="6C68AC9B" w14:textId="77777777" w:rsidR="006D4713" w:rsidRPr="0050053A" w:rsidRDefault="00C91C8C" w:rsidP="009C1987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</w:p>
          <w:p w14:paraId="6C68AC9C" w14:textId="77777777" w:rsidR="006D4713" w:rsidRPr="0050053A" w:rsidRDefault="006D4713" w:rsidP="009C1987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Grant Support: </w:t>
            </w:r>
          </w:p>
          <w:p w14:paraId="6C68AC9D" w14:textId="77777777" w:rsidR="006D4713" w:rsidRDefault="00C91C8C" w:rsidP="009C1987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 w:rsidR="006D4713">
              <w:rPr>
                <w:sz w:val="22"/>
                <w:szCs w:val="22"/>
              </w:rPr>
              <w:br/>
            </w:r>
            <w:r w:rsidR="006D4713">
              <w:rPr>
                <w:sz w:val="22"/>
                <w:szCs w:val="22"/>
              </w:rPr>
              <w:br/>
            </w:r>
            <w:r w:rsidR="006D4713">
              <w:rPr>
                <w:sz w:val="22"/>
                <w:szCs w:val="22"/>
              </w:rPr>
              <w:br/>
            </w:r>
            <w:r w:rsidR="006D4713">
              <w:rPr>
                <w:sz w:val="22"/>
                <w:szCs w:val="22"/>
              </w:rPr>
              <w:br/>
            </w:r>
            <w:r w:rsidR="006D4713">
              <w:rPr>
                <w:sz w:val="22"/>
                <w:szCs w:val="22"/>
              </w:rPr>
              <w:br/>
            </w:r>
            <w:r w:rsidR="006D4713">
              <w:rPr>
                <w:sz w:val="22"/>
                <w:szCs w:val="22"/>
              </w:rPr>
              <w:br/>
            </w:r>
            <w:r w:rsidR="006D4713">
              <w:rPr>
                <w:sz w:val="22"/>
                <w:szCs w:val="22"/>
              </w:rPr>
              <w:br/>
            </w:r>
            <w:r w:rsidR="006D4713">
              <w:rPr>
                <w:sz w:val="22"/>
                <w:szCs w:val="22"/>
              </w:rPr>
              <w:br/>
            </w:r>
            <w:r w:rsidR="006D4713">
              <w:rPr>
                <w:sz w:val="22"/>
                <w:szCs w:val="22"/>
              </w:rPr>
              <w:br/>
            </w:r>
          </w:p>
          <w:p w14:paraId="6C68AC9E" w14:textId="77777777" w:rsidR="006D4713" w:rsidRDefault="006D4713" w:rsidP="009C1987">
            <w:pPr>
              <w:pStyle w:val="Default"/>
            </w:pPr>
          </w:p>
          <w:p w14:paraId="6C68AC9F" w14:textId="77777777" w:rsidR="006D4713" w:rsidRPr="003E35F0" w:rsidRDefault="006D4713" w:rsidP="009C1987">
            <w:pPr>
              <w:pStyle w:val="Default"/>
            </w:pPr>
          </w:p>
          <w:p w14:paraId="6C68ACA0" w14:textId="77777777" w:rsidR="006D4713" w:rsidRPr="0050053A" w:rsidRDefault="006D4713" w:rsidP="009C1987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</w:p>
          <w:p w14:paraId="6C68ACA1" w14:textId="77777777" w:rsidR="006D4713" w:rsidRPr="0050053A" w:rsidRDefault="006D4713" w:rsidP="009C1987">
            <w:pPr>
              <w:pStyle w:val="Default"/>
              <w:rPr>
                <w:rStyle w:val="A4"/>
                <w:bCs/>
              </w:rPr>
            </w:pPr>
          </w:p>
          <w:p w14:paraId="6C68ACA2" w14:textId="77777777" w:rsidR="006D4713" w:rsidRPr="0050053A" w:rsidRDefault="006D4713" w:rsidP="009C1987">
            <w:pPr>
              <w:pStyle w:val="Default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689EEC83" w14:textId="77777777" w:rsidR="002438E6" w:rsidRDefault="002438E6" w:rsidP="002438E6"/>
    <w:p w14:paraId="1CC2EBB8" w14:textId="3E3092C8" w:rsidR="002438E6" w:rsidRDefault="002438E6" w:rsidP="002438E6">
      <w:r>
        <w:t xml:space="preserve">Grant Support: </w:t>
      </w:r>
      <w:r w:rsidR="00D4421C">
        <w:t>Nil</w:t>
      </w:r>
    </w:p>
    <w:sectPr w:rsidR="002438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4713"/>
    <w:rsid w:val="00013953"/>
    <w:rsid w:val="00024BDD"/>
    <w:rsid w:val="000616A4"/>
    <w:rsid w:val="000655D5"/>
    <w:rsid w:val="00066E9F"/>
    <w:rsid w:val="000670FE"/>
    <w:rsid w:val="000A2B78"/>
    <w:rsid w:val="000B4F1C"/>
    <w:rsid w:val="00143DBE"/>
    <w:rsid w:val="0017222B"/>
    <w:rsid w:val="001810CB"/>
    <w:rsid w:val="00187608"/>
    <w:rsid w:val="001A2B91"/>
    <w:rsid w:val="001D4666"/>
    <w:rsid w:val="001F30F9"/>
    <w:rsid w:val="002438E6"/>
    <w:rsid w:val="002562F9"/>
    <w:rsid w:val="00275581"/>
    <w:rsid w:val="002B431A"/>
    <w:rsid w:val="002B4988"/>
    <w:rsid w:val="002C7F51"/>
    <w:rsid w:val="002F5849"/>
    <w:rsid w:val="0030104B"/>
    <w:rsid w:val="00307A16"/>
    <w:rsid w:val="00313FBE"/>
    <w:rsid w:val="00323005"/>
    <w:rsid w:val="00334119"/>
    <w:rsid w:val="00355C43"/>
    <w:rsid w:val="00361F7E"/>
    <w:rsid w:val="003A0C61"/>
    <w:rsid w:val="003C1BCB"/>
    <w:rsid w:val="003C72C7"/>
    <w:rsid w:val="003F0690"/>
    <w:rsid w:val="00400A2E"/>
    <w:rsid w:val="00420507"/>
    <w:rsid w:val="00450AF1"/>
    <w:rsid w:val="004878FA"/>
    <w:rsid w:val="00487EC0"/>
    <w:rsid w:val="00536C54"/>
    <w:rsid w:val="0053799C"/>
    <w:rsid w:val="00546932"/>
    <w:rsid w:val="005512D3"/>
    <w:rsid w:val="00565FC5"/>
    <w:rsid w:val="005908FA"/>
    <w:rsid w:val="0059679A"/>
    <w:rsid w:val="005B3C80"/>
    <w:rsid w:val="005D7A20"/>
    <w:rsid w:val="005F5CB7"/>
    <w:rsid w:val="005F6433"/>
    <w:rsid w:val="00613004"/>
    <w:rsid w:val="00631F54"/>
    <w:rsid w:val="006438E9"/>
    <w:rsid w:val="006600BC"/>
    <w:rsid w:val="00667690"/>
    <w:rsid w:val="006953D7"/>
    <w:rsid w:val="006D4713"/>
    <w:rsid w:val="00752808"/>
    <w:rsid w:val="007B1E10"/>
    <w:rsid w:val="007B5807"/>
    <w:rsid w:val="007C7873"/>
    <w:rsid w:val="007D3CBC"/>
    <w:rsid w:val="007E2466"/>
    <w:rsid w:val="007E6286"/>
    <w:rsid w:val="00820978"/>
    <w:rsid w:val="00850A80"/>
    <w:rsid w:val="00891462"/>
    <w:rsid w:val="00893C8D"/>
    <w:rsid w:val="008C6C8E"/>
    <w:rsid w:val="00945518"/>
    <w:rsid w:val="009656B9"/>
    <w:rsid w:val="00975353"/>
    <w:rsid w:val="009816D7"/>
    <w:rsid w:val="00990E24"/>
    <w:rsid w:val="00997FD6"/>
    <w:rsid w:val="009D10D5"/>
    <w:rsid w:val="009D11D5"/>
    <w:rsid w:val="009D1BA3"/>
    <w:rsid w:val="00A2269A"/>
    <w:rsid w:val="00A24E6D"/>
    <w:rsid w:val="00A56717"/>
    <w:rsid w:val="00AB61E4"/>
    <w:rsid w:val="00B32D01"/>
    <w:rsid w:val="00B43031"/>
    <w:rsid w:val="00BA13A3"/>
    <w:rsid w:val="00BB6B1D"/>
    <w:rsid w:val="00BC0136"/>
    <w:rsid w:val="00C44FC8"/>
    <w:rsid w:val="00C6653D"/>
    <w:rsid w:val="00C91C8C"/>
    <w:rsid w:val="00CA5BFC"/>
    <w:rsid w:val="00CB0578"/>
    <w:rsid w:val="00D02B65"/>
    <w:rsid w:val="00D06FEB"/>
    <w:rsid w:val="00D1370B"/>
    <w:rsid w:val="00D3293B"/>
    <w:rsid w:val="00D4421C"/>
    <w:rsid w:val="00D546B3"/>
    <w:rsid w:val="00D65BB8"/>
    <w:rsid w:val="00D90A2D"/>
    <w:rsid w:val="00DA6B95"/>
    <w:rsid w:val="00DE0BFF"/>
    <w:rsid w:val="00DE7E4A"/>
    <w:rsid w:val="00DF449E"/>
    <w:rsid w:val="00E403E6"/>
    <w:rsid w:val="00E4455A"/>
    <w:rsid w:val="00E516F9"/>
    <w:rsid w:val="00E61061"/>
    <w:rsid w:val="00EC5A7E"/>
    <w:rsid w:val="00EE3EA8"/>
    <w:rsid w:val="00EE7E58"/>
    <w:rsid w:val="00EF21C2"/>
    <w:rsid w:val="00F13206"/>
    <w:rsid w:val="00F21C2F"/>
    <w:rsid w:val="00F63157"/>
    <w:rsid w:val="00F7635C"/>
    <w:rsid w:val="00F828DD"/>
    <w:rsid w:val="00F84C15"/>
    <w:rsid w:val="00FE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8AC7F"/>
  <w15:docId w15:val="{A9F3B95C-6E5F-47F7-95E8-335A2AC3F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7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D47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6D4713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6D4713"/>
    <w:pPr>
      <w:spacing w:line="241" w:lineRule="atLeast"/>
    </w:pPr>
    <w:rPr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1876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76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760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76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7608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8" ma:contentTypeDescription="Create a new document." ma:contentTypeScope="" ma:versionID="4715b50f30b17542965b4420ea2ff890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97f6b02c28eefde9561c47ce6f77b83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CBD194-A1E0-4107-8F2F-F5DDCC7D135A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2.xml><?xml version="1.0" encoding="utf-8"?>
<ds:datastoreItem xmlns:ds="http://schemas.openxmlformats.org/officeDocument/2006/customXml" ds:itemID="{8810A034-3CE3-4046-9BD9-8F5BBDBD32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D71607-6134-4874-BC84-4A6FAD0EE3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onsite6</dc:creator>
  <cp:lastModifiedBy>Lindsay Bedser</cp:lastModifiedBy>
  <cp:revision>81</cp:revision>
  <cp:lastPrinted>2023-10-18T20:52:00Z</cp:lastPrinted>
  <dcterms:created xsi:type="dcterms:W3CDTF">2023-09-24T21:35:00Z</dcterms:created>
  <dcterms:modified xsi:type="dcterms:W3CDTF">2024-02-05T02:53:00Z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