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E01E8" w:rsidRPr="0050053A" w14:paraId="5C38377B" w14:textId="77777777" w:rsidTr="000A28E2">
        <w:trPr>
          <w:jc w:val="center"/>
        </w:trPr>
        <w:tc>
          <w:tcPr>
            <w:tcW w:w="8640" w:type="dxa"/>
            <w:shd w:val="clear" w:color="auto" w:fill="auto"/>
          </w:tcPr>
          <w:p w14:paraId="5C44F357" w14:textId="0FCEFD80" w:rsidR="005E01E8" w:rsidRPr="0050053A" w:rsidRDefault="005E01E8" w:rsidP="005E01E8">
            <w:pPr>
              <w:spacing w:before="120" w:after="120"/>
              <w:rPr>
                <w:rFonts w:ascii="Arial" w:hAnsi="Arial" w:cs="Arial"/>
                <w:b/>
                <w:sz w:val="22"/>
                <w:szCs w:val="22"/>
                <w:lang w:val="en-US" w:eastAsia="zh-CN"/>
              </w:rPr>
            </w:pPr>
            <w:r w:rsidRPr="00E82D9C">
              <w:rPr>
                <w:rFonts w:ascii="Arial" w:hAnsi="Arial" w:cs="Arial"/>
                <w:b/>
                <w:bCs/>
                <w:sz w:val="22"/>
                <w:szCs w:val="22"/>
                <w:lang w:val="en-AU" w:eastAsia="en-GB"/>
              </w:rPr>
              <w:t>Smartphone applications for tobacco cessation: a systematic review and meta-analyses</w:t>
            </w:r>
          </w:p>
        </w:tc>
      </w:tr>
      <w:tr w:rsidR="005E01E8" w:rsidRPr="0050053A" w14:paraId="0E2E035C" w14:textId="77777777" w:rsidTr="000A28E2">
        <w:trPr>
          <w:jc w:val="center"/>
        </w:trPr>
        <w:tc>
          <w:tcPr>
            <w:tcW w:w="8640" w:type="dxa"/>
            <w:shd w:val="clear" w:color="auto" w:fill="auto"/>
          </w:tcPr>
          <w:p w14:paraId="73B55295" w14:textId="74AC8C17" w:rsidR="005E01E8" w:rsidRPr="00413B94" w:rsidRDefault="005E01E8" w:rsidP="005E01E8">
            <w:pPr>
              <w:rPr>
                <w:rFonts w:ascii="Arial" w:hAnsi="Arial" w:cs="Arial"/>
                <w:sz w:val="22"/>
                <w:szCs w:val="22"/>
                <w:u w:val="single"/>
                <w:lang w:eastAsia="zh-CN"/>
              </w:rPr>
            </w:pPr>
            <w:r w:rsidRPr="00872A5E">
              <w:rPr>
                <w:rFonts w:ascii="Arial" w:hAnsi="Arial" w:cs="Arial"/>
                <w:b/>
                <w:bCs/>
                <w:sz w:val="22"/>
                <w:szCs w:val="22"/>
                <w:lang w:val="en-US" w:eastAsia="en-GB"/>
              </w:rPr>
              <w:t>Hollie Bendotti</w:t>
            </w:r>
            <w:r w:rsidRPr="00413B94">
              <w:rPr>
                <w:rFonts w:ascii="Arial" w:hAnsi="Arial" w:cs="Arial"/>
                <w:sz w:val="22"/>
                <w:szCs w:val="22"/>
                <w:vertAlign w:val="superscript"/>
                <w:lang w:val="en-US" w:eastAsia="en-GB"/>
              </w:rPr>
              <w:t>1</w:t>
            </w:r>
            <w:bookmarkStart w:id="0" w:name="Text8"/>
            <w:r>
              <w:rPr>
                <w:rFonts w:ascii="Arial" w:hAnsi="Arial" w:cs="Arial"/>
                <w:sz w:val="22"/>
                <w:szCs w:val="22"/>
                <w:vertAlign w:val="superscript"/>
                <w:lang w:val="en-US" w:eastAsia="en-GB"/>
              </w:rPr>
              <w:t>,2,3</w:t>
            </w:r>
            <w:r w:rsidRPr="00413B94">
              <w:rPr>
                <w:rFonts w:ascii="Arial" w:hAnsi="Arial" w:cs="Arial"/>
                <w:sz w:val="22"/>
                <w:szCs w:val="22"/>
                <w:lang w:val="en-US" w:eastAsia="en-GB"/>
              </w:rPr>
              <w:t>,</w:t>
            </w:r>
            <w:bookmarkEnd w:id="0"/>
            <w:r>
              <w:rPr>
                <w:rFonts w:ascii="Arial" w:hAnsi="Arial" w:cs="Arial"/>
                <w:sz w:val="22"/>
                <w:szCs w:val="22"/>
                <w:lang w:val="en-US" w:eastAsia="en-GB"/>
              </w:rPr>
              <w:t xml:space="preserve"> Isabel Meciar</w:t>
            </w:r>
            <w:r>
              <w:rPr>
                <w:rFonts w:ascii="Arial" w:hAnsi="Arial" w:cs="Arial"/>
                <w:sz w:val="22"/>
                <w:szCs w:val="22"/>
                <w:vertAlign w:val="superscript"/>
                <w:lang w:val="en-US" w:eastAsia="en-GB"/>
              </w:rPr>
              <w:t>3</w:t>
            </w:r>
            <w:r w:rsidRPr="00413B94">
              <w:rPr>
                <w:rFonts w:ascii="Arial" w:hAnsi="Arial" w:cs="Arial"/>
                <w:sz w:val="22"/>
                <w:szCs w:val="22"/>
                <w:lang w:val="en-US" w:eastAsia="en-GB"/>
              </w:rPr>
              <w:t>,</w:t>
            </w:r>
            <w:r>
              <w:rPr>
                <w:rFonts w:ascii="Arial" w:hAnsi="Arial" w:cs="Arial"/>
                <w:sz w:val="22"/>
                <w:szCs w:val="22"/>
                <w:lang w:val="en-US" w:eastAsia="en-GB"/>
              </w:rPr>
              <w:t xml:space="preserve"> </w:t>
            </w:r>
            <w:proofErr w:type="spellStart"/>
            <w:r>
              <w:rPr>
                <w:rFonts w:ascii="Arial" w:hAnsi="Arial" w:cs="Arial"/>
                <w:sz w:val="22"/>
                <w:szCs w:val="22"/>
                <w:lang w:val="en-US" w:eastAsia="en-GB"/>
              </w:rPr>
              <w:t>Tianze</w:t>
            </w:r>
            <w:proofErr w:type="spellEnd"/>
            <w:r>
              <w:rPr>
                <w:rFonts w:ascii="Arial" w:hAnsi="Arial" w:cs="Arial"/>
                <w:sz w:val="22"/>
                <w:szCs w:val="22"/>
                <w:lang w:val="en-US" w:eastAsia="en-GB"/>
              </w:rPr>
              <w:t xml:space="preserve"> Sun</w:t>
            </w:r>
            <w:r w:rsidRPr="00413B94">
              <w:rPr>
                <w:rFonts w:ascii="Arial" w:hAnsi="Arial" w:cs="Arial"/>
                <w:sz w:val="22"/>
                <w:szCs w:val="22"/>
                <w:vertAlign w:val="superscript"/>
                <w:lang w:val="en-US" w:eastAsia="en-GB"/>
              </w:rPr>
              <w:t>3</w:t>
            </w:r>
            <w:r>
              <w:rPr>
                <w:rFonts w:ascii="Arial" w:hAnsi="Arial" w:cs="Arial"/>
                <w:sz w:val="22"/>
                <w:szCs w:val="22"/>
                <w:vertAlign w:val="superscript"/>
                <w:lang w:val="en-US" w:eastAsia="en-GB"/>
              </w:rPr>
              <w:t>,4</w:t>
            </w:r>
            <w:r w:rsidRPr="00413B94">
              <w:rPr>
                <w:rFonts w:ascii="Arial" w:hAnsi="Arial" w:cs="Arial"/>
                <w:sz w:val="22"/>
                <w:szCs w:val="22"/>
                <w:lang w:val="en-US" w:eastAsia="en-GB"/>
              </w:rPr>
              <w:t>,</w:t>
            </w:r>
            <w:r>
              <w:rPr>
                <w:rFonts w:ascii="Arial" w:hAnsi="Arial" w:cs="Arial"/>
                <w:sz w:val="22"/>
                <w:szCs w:val="22"/>
                <w:lang w:val="en-US" w:eastAsia="en-GB"/>
              </w:rPr>
              <w:t xml:space="preserve"> Sheleigh Lawler</w:t>
            </w:r>
            <w:r>
              <w:rPr>
                <w:rFonts w:ascii="Arial" w:hAnsi="Arial" w:cs="Arial"/>
                <w:sz w:val="22"/>
                <w:szCs w:val="22"/>
                <w:vertAlign w:val="superscript"/>
                <w:lang w:val="en-US" w:eastAsia="en-GB"/>
              </w:rPr>
              <w:t>3,5</w:t>
            </w:r>
            <w:r w:rsidRPr="00413B94">
              <w:rPr>
                <w:rFonts w:ascii="Arial" w:hAnsi="Arial" w:cs="Arial"/>
                <w:sz w:val="22"/>
                <w:szCs w:val="22"/>
                <w:lang w:val="en-US" w:eastAsia="en-GB"/>
              </w:rPr>
              <w:t>,</w:t>
            </w:r>
            <w:r>
              <w:rPr>
                <w:rFonts w:ascii="Arial" w:hAnsi="Arial" w:cs="Arial"/>
                <w:sz w:val="22"/>
                <w:szCs w:val="22"/>
                <w:lang w:val="en-US" w:eastAsia="en-GB"/>
              </w:rPr>
              <w:t xml:space="preserve"> Carmen Lim</w:t>
            </w:r>
            <w:r>
              <w:rPr>
                <w:rFonts w:ascii="Arial" w:hAnsi="Arial" w:cs="Arial"/>
                <w:sz w:val="22"/>
                <w:szCs w:val="22"/>
                <w:vertAlign w:val="superscript"/>
                <w:lang w:val="en-US" w:eastAsia="en-GB"/>
              </w:rPr>
              <w:t>3,4</w:t>
            </w:r>
            <w:r>
              <w:rPr>
                <w:rFonts w:ascii="Arial" w:hAnsi="Arial" w:cs="Arial"/>
                <w:sz w:val="22"/>
                <w:szCs w:val="22"/>
                <w:lang w:val="en-US" w:eastAsia="en-GB"/>
              </w:rPr>
              <w:t xml:space="preserve">, </w:t>
            </w:r>
            <w:proofErr w:type="spellStart"/>
            <w:r>
              <w:rPr>
                <w:rFonts w:ascii="Arial" w:hAnsi="Arial" w:cs="Arial"/>
                <w:sz w:val="22"/>
                <w:szCs w:val="22"/>
                <w:lang w:val="en-US" w:eastAsia="en-GB"/>
              </w:rPr>
              <w:t>Heewon</w:t>
            </w:r>
            <w:proofErr w:type="spellEnd"/>
            <w:r>
              <w:rPr>
                <w:rFonts w:ascii="Arial" w:hAnsi="Arial" w:cs="Arial"/>
                <w:sz w:val="22"/>
                <w:szCs w:val="22"/>
                <w:lang w:val="en-US" w:eastAsia="en-GB"/>
              </w:rPr>
              <w:t xml:space="preserve"> Kang</w:t>
            </w:r>
            <w:r>
              <w:rPr>
                <w:rFonts w:ascii="Arial" w:hAnsi="Arial" w:cs="Arial"/>
                <w:sz w:val="22"/>
                <w:szCs w:val="22"/>
                <w:vertAlign w:val="superscript"/>
                <w:lang w:val="en-US" w:eastAsia="en-GB"/>
              </w:rPr>
              <w:t>3,6</w:t>
            </w:r>
            <w:r>
              <w:rPr>
                <w:rFonts w:ascii="Arial" w:hAnsi="Arial" w:cs="Arial"/>
                <w:sz w:val="22"/>
                <w:szCs w:val="22"/>
                <w:lang w:val="en-US" w:eastAsia="en-GB"/>
              </w:rPr>
              <w:t>, Kylie Morphett</w:t>
            </w:r>
            <w:r>
              <w:rPr>
                <w:rFonts w:ascii="Arial" w:hAnsi="Arial" w:cs="Arial"/>
                <w:sz w:val="22"/>
                <w:szCs w:val="22"/>
                <w:vertAlign w:val="superscript"/>
                <w:lang w:val="en-US" w:eastAsia="en-GB"/>
              </w:rPr>
              <w:t>3,5</w:t>
            </w:r>
            <w:r>
              <w:rPr>
                <w:rFonts w:ascii="Arial" w:hAnsi="Arial" w:cs="Arial"/>
                <w:sz w:val="22"/>
                <w:szCs w:val="22"/>
                <w:lang w:val="en-US" w:eastAsia="en-GB"/>
              </w:rPr>
              <w:t>, Gary CK Chan</w:t>
            </w:r>
            <w:r>
              <w:rPr>
                <w:rFonts w:ascii="Arial" w:hAnsi="Arial" w:cs="Arial"/>
                <w:sz w:val="22"/>
                <w:szCs w:val="22"/>
                <w:vertAlign w:val="superscript"/>
                <w:lang w:val="en-US" w:eastAsia="en-GB"/>
              </w:rPr>
              <w:t>3,4</w:t>
            </w:r>
            <w:r>
              <w:rPr>
                <w:rFonts w:ascii="Arial" w:hAnsi="Arial" w:cs="Arial"/>
                <w:sz w:val="22"/>
                <w:szCs w:val="22"/>
                <w:lang w:val="en-US" w:eastAsia="en-GB"/>
              </w:rPr>
              <w:t>, Henry M Marshall</w:t>
            </w:r>
            <w:r>
              <w:rPr>
                <w:rFonts w:ascii="Arial" w:hAnsi="Arial" w:cs="Arial"/>
                <w:sz w:val="22"/>
                <w:szCs w:val="22"/>
                <w:vertAlign w:val="superscript"/>
                <w:lang w:val="en-US" w:eastAsia="en-GB"/>
              </w:rPr>
              <w:t>1,3,7</w:t>
            </w:r>
            <w:r>
              <w:rPr>
                <w:rFonts w:ascii="Arial" w:hAnsi="Arial" w:cs="Arial"/>
                <w:sz w:val="22"/>
                <w:szCs w:val="22"/>
                <w:lang w:val="en-US" w:eastAsia="en-GB"/>
              </w:rPr>
              <w:t>, Coral Gartner</w:t>
            </w:r>
            <w:r>
              <w:rPr>
                <w:rFonts w:ascii="Arial" w:hAnsi="Arial" w:cs="Arial"/>
                <w:sz w:val="22"/>
                <w:szCs w:val="22"/>
                <w:vertAlign w:val="superscript"/>
                <w:lang w:val="en-US" w:eastAsia="en-GB"/>
              </w:rPr>
              <w:t>3,5</w:t>
            </w:r>
          </w:p>
        </w:tc>
      </w:tr>
      <w:tr w:rsidR="005E01E8" w:rsidRPr="0050053A" w14:paraId="385A19D9" w14:textId="77777777" w:rsidTr="002B0635">
        <w:trPr>
          <w:trHeight w:val="1869"/>
          <w:jc w:val="center"/>
        </w:trPr>
        <w:tc>
          <w:tcPr>
            <w:tcW w:w="8640" w:type="dxa"/>
            <w:shd w:val="clear" w:color="auto" w:fill="auto"/>
          </w:tcPr>
          <w:p w14:paraId="420F6B8C" w14:textId="2009D61E" w:rsidR="005E01E8" w:rsidRPr="000A1310" w:rsidRDefault="005E01E8" w:rsidP="005E01E8">
            <w:pPr>
              <w:ind w:left="35"/>
              <w:rPr>
                <w:rFonts w:ascii="Arial" w:hAnsi="Arial" w:cs="Arial"/>
                <w:i/>
                <w:sz w:val="22"/>
                <w:szCs w:val="22"/>
                <w:vertAlign w:val="superscript"/>
                <w:lang w:val="en-AU" w:eastAsia="en-GB"/>
              </w:rPr>
            </w:pPr>
            <w:r w:rsidRPr="0050053A">
              <w:rPr>
                <w:rFonts w:ascii="Arial" w:hAnsi="Arial" w:cs="Arial"/>
                <w:i/>
                <w:sz w:val="22"/>
                <w:szCs w:val="22"/>
                <w:vertAlign w:val="superscript"/>
                <w:lang w:val="en-US" w:eastAsia="en-GB"/>
              </w:rPr>
              <w:t>1</w:t>
            </w:r>
            <w:r w:rsidRPr="007B67F9">
              <w:rPr>
                <w:rFonts w:asciiTheme="minorHAnsi" w:eastAsiaTheme="minorHAnsi" w:hAnsiTheme="minorHAnsi" w:cstheme="minorBidi"/>
                <w:sz w:val="22"/>
                <w:szCs w:val="22"/>
                <w:lang w:val="en-AU"/>
              </w:rPr>
              <w:t xml:space="preserve"> </w:t>
            </w:r>
            <w:r w:rsidRPr="007B67F9">
              <w:rPr>
                <w:rFonts w:ascii="Arial" w:hAnsi="Arial" w:cs="Arial"/>
                <w:i/>
                <w:sz w:val="22"/>
                <w:szCs w:val="22"/>
                <w:lang w:val="en-AU" w:eastAsia="en-GB"/>
              </w:rPr>
              <w:t>Thoracic Research Centre, University of Queensland</w:t>
            </w:r>
            <w:r>
              <w:rPr>
                <w:rFonts w:ascii="Arial" w:hAnsi="Arial" w:cs="Arial"/>
                <w:i/>
                <w:sz w:val="22"/>
                <w:szCs w:val="22"/>
                <w:lang w:val="en-AU" w:eastAsia="en-GB"/>
              </w:rPr>
              <w:t>, AU</w:t>
            </w:r>
          </w:p>
          <w:p w14:paraId="649DB652" w14:textId="01E32B2F" w:rsidR="005E01E8" w:rsidRPr="00AB0DEA" w:rsidRDefault="005E01E8" w:rsidP="005E01E8">
            <w:pPr>
              <w:rPr>
                <w:rFonts w:ascii="Arial" w:hAnsi="Arial" w:cs="Arial"/>
                <w:i/>
                <w:sz w:val="22"/>
                <w:szCs w:val="22"/>
                <w:vertAlign w:val="superscript"/>
                <w:lang w:val="en-AU" w:eastAsia="en-GB"/>
              </w:rPr>
            </w:pPr>
            <w:r w:rsidRPr="0050053A">
              <w:rPr>
                <w:rFonts w:ascii="Arial" w:hAnsi="Arial" w:cs="Arial"/>
                <w:i/>
                <w:sz w:val="22"/>
                <w:szCs w:val="22"/>
                <w:vertAlign w:val="superscript"/>
                <w:lang w:val="en-US" w:eastAsia="en-GB"/>
              </w:rPr>
              <w:t>2</w:t>
            </w:r>
            <w:r w:rsidRPr="000A1310">
              <w:rPr>
                <w:rFonts w:asciiTheme="minorHAnsi" w:eastAsiaTheme="minorHAnsi" w:hAnsiTheme="minorHAnsi" w:cstheme="minorBidi"/>
                <w:sz w:val="22"/>
                <w:szCs w:val="22"/>
                <w:lang w:val="en-AU"/>
              </w:rPr>
              <w:t xml:space="preserve"> </w:t>
            </w:r>
            <w:r w:rsidRPr="000A1310">
              <w:rPr>
                <w:rFonts w:ascii="Arial" w:hAnsi="Arial" w:cs="Arial"/>
                <w:i/>
                <w:sz w:val="22"/>
                <w:szCs w:val="22"/>
                <w:lang w:val="en-AU" w:eastAsia="en-GB"/>
              </w:rPr>
              <w:t>The Australian e-Health Research Centre,</w:t>
            </w:r>
            <w:r w:rsidR="002B0635">
              <w:rPr>
                <w:rFonts w:ascii="Arial" w:hAnsi="Arial" w:cs="Arial"/>
                <w:i/>
                <w:sz w:val="22"/>
                <w:szCs w:val="22"/>
                <w:lang w:val="en-AU" w:eastAsia="en-GB"/>
              </w:rPr>
              <w:t xml:space="preserve"> </w:t>
            </w:r>
            <w:r>
              <w:rPr>
                <w:rFonts w:ascii="Arial" w:hAnsi="Arial" w:cs="Arial"/>
                <w:i/>
                <w:sz w:val="22"/>
                <w:szCs w:val="22"/>
                <w:lang w:val="en-AU" w:eastAsia="en-GB"/>
              </w:rPr>
              <w:t>CSIRO</w:t>
            </w:r>
            <w:r w:rsidRPr="000A1310">
              <w:rPr>
                <w:rFonts w:ascii="Arial" w:hAnsi="Arial" w:cs="Arial"/>
                <w:i/>
                <w:sz w:val="22"/>
                <w:szCs w:val="22"/>
                <w:lang w:val="en-AU" w:eastAsia="en-GB"/>
              </w:rPr>
              <w:t>, Herston, Queensland, A</w:t>
            </w:r>
            <w:r>
              <w:rPr>
                <w:rFonts w:ascii="Arial" w:hAnsi="Arial" w:cs="Arial"/>
                <w:i/>
                <w:sz w:val="22"/>
                <w:szCs w:val="22"/>
                <w:lang w:val="en-AU" w:eastAsia="en-GB"/>
              </w:rPr>
              <w:t>U</w:t>
            </w:r>
          </w:p>
          <w:p w14:paraId="1168472D" w14:textId="0F4894DC" w:rsidR="005E01E8" w:rsidRPr="00764819" w:rsidRDefault="005E01E8" w:rsidP="005E01E8">
            <w:pPr>
              <w:rPr>
                <w:rFonts w:ascii="Arial" w:hAnsi="Arial" w:cs="Arial"/>
                <w:i/>
                <w:sz w:val="22"/>
                <w:szCs w:val="22"/>
                <w:vertAlign w:val="superscript"/>
                <w:lang w:val="en-AU" w:eastAsia="en-GB"/>
              </w:rPr>
            </w:pPr>
            <w:r w:rsidRPr="0050053A">
              <w:rPr>
                <w:rFonts w:ascii="Arial" w:hAnsi="Arial" w:cs="Arial"/>
                <w:i/>
                <w:sz w:val="22"/>
                <w:szCs w:val="22"/>
                <w:vertAlign w:val="superscript"/>
                <w:lang w:val="en-US" w:eastAsia="en-GB"/>
              </w:rPr>
              <w:t>3</w:t>
            </w:r>
            <w:r w:rsidRPr="00AB0DEA">
              <w:rPr>
                <w:rFonts w:asciiTheme="minorHAnsi" w:eastAsiaTheme="minorHAnsi" w:hAnsiTheme="minorHAnsi" w:cstheme="minorBidi"/>
                <w:sz w:val="22"/>
                <w:szCs w:val="22"/>
                <w:lang w:val="en-AU"/>
              </w:rPr>
              <w:t xml:space="preserve"> </w:t>
            </w:r>
            <w:r w:rsidRPr="00AB0DEA">
              <w:rPr>
                <w:rFonts w:ascii="Arial" w:hAnsi="Arial" w:cs="Arial"/>
                <w:i/>
                <w:sz w:val="22"/>
                <w:szCs w:val="22"/>
                <w:lang w:val="en-AU" w:eastAsia="en-GB"/>
              </w:rPr>
              <w:t xml:space="preserve">NHMRC </w:t>
            </w:r>
            <w:r>
              <w:rPr>
                <w:rFonts w:ascii="Arial" w:hAnsi="Arial" w:cs="Arial"/>
                <w:i/>
                <w:sz w:val="22"/>
                <w:szCs w:val="22"/>
                <w:lang w:val="en-AU" w:eastAsia="en-GB"/>
              </w:rPr>
              <w:t>CRE</w:t>
            </w:r>
            <w:r w:rsidRPr="00AB0DEA">
              <w:rPr>
                <w:rFonts w:ascii="Arial" w:hAnsi="Arial" w:cs="Arial"/>
                <w:i/>
                <w:sz w:val="22"/>
                <w:szCs w:val="22"/>
                <w:lang w:val="en-AU" w:eastAsia="en-GB"/>
              </w:rPr>
              <w:t xml:space="preserve"> on Achieving the Tobacco Endgame, University of Queensland,</w:t>
            </w:r>
            <w:r>
              <w:rPr>
                <w:rFonts w:ascii="Arial" w:hAnsi="Arial" w:cs="Arial"/>
                <w:i/>
                <w:sz w:val="22"/>
                <w:szCs w:val="22"/>
                <w:lang w:val="en-AU" w:eastAsia="en-GB"/>
              </w:rPr>
              <w:t xml:space="preserve"> </w:t>
            </w:r>
            <w:r w:rsidRPr="00AB0DEA">
              <w:rPr>
                <w:rFonts w:ascii="Arial" w:hAnsi="Arial" w:cs="Arial"/>
                <w:i/>
                <w:sz w:val="22"/>
                <w:szCs w:val="22"/>
                <w:lang w:val="en-AU" w:eastAsia="en-GB"/>
              </w:rPr>
              <w:t>A</w:t>
            </w:r>
            <w:r>
              <w:rPr>
                <w:rFonts w:ascii="Arial" w:hAnsi="Arial" w:cs="Arial"/>
                <w:i/>
                <w:sz w:val="22"/>
                <w:szCs w:val="22"/>
                <w:lang w:val="en-AU" w:eastAsia="en-GB"/>
              </w:rPr>
              <w:t>U</w:t>
            </w:r>
          </w:p>
          <w:p w14:paraId="687F4596" w14:textId="1DB3ECC7" w:rsidR="005E01E8" w:rsidRPr="00E45502" w:rsidRDefault="005E01E8" w:rsidP="005E01E8">
            <w:pPr>
              <w:rPr>
                <w:rFonts w:ascii="Arial" w:hAnsi="Arial" w:cs="Arial"/>
                <w:i/>
                <w:sz w:val="22"/>
                <w:szCs w:val="22"/>
                <w:vertAlign w:val="superscript"/>
                <w:lang w:val="en-AU" w:eastAsia="en-GB"/>
              </w:rPr>
            </w:pPr>
            <w:r w:rsidRPr="0050053A">
              <w:rPr>
                <w:rFonts w:ascii="Arial" w:hAnsi="Arial" w:cs="Arial"/>
                <w:i/>
                <w:sz w:val="22"/>
                <w:szCs w:val="22"/>
                <w:vertAlign w:val="superscript"/>
                <w:lang w:val="en-US" w:eastAsia="en-GB"/>
              </w:rPr>
              <w:t>4</w:t>
            </w:r>
            <w:r w:rsidRPr="00291D39">
              <w:rPr>
                <w:rFonts w:asciiTheme="minorHAnsi" w:eastAsiaTheme="minorHAnsi" w:hAnsiTheme="minorHAnsi" w:cstheme="minorBidi"/>
                <w:sz w:val="22"/>
                <w:szCs w:val="22"/>
                <w:lang w:val="en-AU"/>
              </w:rPr>
              <w:t xml:space="preserve"> </w:t>
            </w:r>
            <w:r w:rsidRPr="00E45502">
              <w:rPr>
                <w:rFonts w:ascii="Arial" w:hAnsi="Arial" w:cs="Arial"/>
                <w:i/>
                <w:sz w:val="22"/>
                <w:szCs w:val="22"/>
                <w:lang w:val="en-AU" w:eastAsia="en-GB"/>
              </w:rPr>
              <w:t>National Centre for Youth Substance Use Research, University of Queensland, A</w:t>
            </w:r>
            <w:r>
              <w:rPr>
                <w:rFonts w:ascii="Arial" w:hAnsi="Arial" w:cs="Arial"/>
                <w:i/>
                <w:sz w:val="22"/>
                <w:szCs w:val="22"/>
                <w:lang w:val="en-AU" w:eastAsia="en-GB"/>
              </w:rPr>
              <w:t>U</w:t>
            </w:r>
          </w:p>
          <w:p w14:paraId="759D8D31" w14:textId="749E39FF" w:rsidR="005E01E8" w:rsidRDefault="005E01E8" w:rsidP="005E01E8">
            <w:pPr>
              <w:rPr>
                <w:rFonts w:ascii="Arial" w:hAnsi="Arial" w:cs="Arial"/>
                <w:i/>
                <w:sz w:val="22"/>
                <w:szCs w:val="22"/>
                <w:lang w:val="en-AU" w:eastAsia="en-GB"/>
              </w:rPr>
            </w:pPr>
            <w:r w:rsidRPr="0050053A">
              <w:rPr>
                <w:rFonts w:ascii="Arial" w:hAnsi="Arial" w:cs="Arial"/>
                <w:i/>
                <w:sz w:val="22"/>
                <w:szCs w:val="22"/>
                <w:vertAlign w:val="superscript"/>
                <w:lang w:val="en-US" w:eastAsia="en-GB"/>
              </w:rPr>
              <w:t>5</w:t>
            </w:r>
            <w:r w:rsidRPr="002669D6">
              <w:rPr>
                <w:rFonts w:asciiTheme="minorHAnsi" w:eastAsiaTheme="minorHAnsi" w:hAnsiTheme="minorHAnsi" w:cstheme="minorBidi"/>
                <w:sz w:val="22"/>
                <w:szCs w:val="22"/>
                <w:lang w:val="en-AU"/>
              </w:rPr>
              <w:t xml:space="preserve"> </w:t>
            </w:r>
            <w:r w:rsidRPr="002669D6">
              <w:rPr>
                <w:rFonts w:ascii="Arial" w:hAnsi="Arial" w:cs="Arial"/>
                <w:i/>
                <w:sz w:val="22"/>
                <w:szCs w:val="22"/>
                <w:lang w:val="en-AU" w:eastAsia="en-GB"/>
              </w:rPr>
              <w:t>School of Public Health,  University of Queensland, Herston, Queensland, A</w:t>
            </w:r>
            <w:r>
              <w:rPr>
                <w:rFonts w:ascii="Arial" w:hAnsi="Arial" w:cs="Arial"/>
                <w:i/>
                <w:sz w:val="22"/>
                <w:szCs w:val="22"/>
                <w:lang w:val="en-AU" w:eastAsia="en-GB"/>
              </w:rPr>
              <w:t>U</w:t>
            </w:r>
          </w:p>
          <w:p w14:paraId="383E7AC0" w14:textId="77777777" w:rsidR="005E01E8" w:rsidRPr="00A116E3" w:rsidRDefault="005E01E8" w:rsidP="005E01E8">
            <w:pPr>
              <w:rPr>
                <w:rFonts w:ascii="Arial" w:hAnsi="Arial" w:cs="Arial"/>
                <w:i/>
                <w:sz w:val="22"/>
                <w:szCs w:val="22"/>
                <w:lang w:eastAsia="en-GB"/>
              </w:rPr>
            </w:pPr>
            <w:r>
              <w:rPr>
                <w:rFonts w:ascii="Arial" w:hAnsi="Arial" w:cs="Arial"/>
                <w:i/>
                <w:sz w:val="22"/>
                <w:szCs w:val="22"/>
                <w:vertAlign w:val="superscript"/>
                <w:lang w:val="en-AU" w:eastAsia="en-GB"/>
              </w:rPr>
              <w:t>6</w:t>
            </w:r>
            <w:r w:rsidRPr="001D66B7">
              <w:rPr>
                <w:rFonts w:asciiTheme="minorHAnsi" w:eastAsiaTheme="minorHAnsi" w:hAnsiTheme="minorHAnsi" w:cstheme="minorBidi"/>
                <w:sz w:val="22"/>
                <w:szCs w:val="22"/>
                <w:lang w:val="en-AU"/>
              </w:rPr>
              <w:t xml:space="preserve"> </w:t>
            </w:r>
            <w:r w:rsidRPr="001D66B7">
              <w:rPr>
                <w:rFonts w:ascii="Arial" w:hAnsi="Arial" w:cs="Arial"/>
                <w:i/>
                <w:sz w:val="22"/>
                <w:szCs w:val="22"/>
                <w:lang w:eastAsia="en-GB"/>
              </w:rPr>
              <w:t>Seoul National Universit</w:t>
            </w:r>
            <w:r>
              <w:rPr>
                <w:rFonts w:ascii="Arial" w:hAnsi="Arial" w:cs="Arial"/>
                <w:i/>
                <w:sz w:val="22"/>
                <w:szCs w:val="22"/>
                <w:lang w:eastAsia="en-GB"/>
              </w:rPr>
              <w:t>y, South Korea</w:t>
            </w:r>
          </w:p>
          <w:p w14:paraId="45ED36BF" w14:textId="14E8F4B6" w:rsidR="005E01E8" w:rsidRPr="0050053A" w:rsidRDefault="005E01E8" w:rsidP="005E01E8">
            <w:pPr>
              <w:rPr>
                <w:rFonts w:ascii="Arial" w:hAnsi="Arial" w:cs="Arial"/>
                <w:i/>
                <w:sz w:val="22"/>
                <w:szCs w:val="22"/>
                <w:lang w:val="en-US" w:eastAsia="en-GB"/>
              </w:rPr>
            </w:pPr>
            <w:r>
              <w:rPr>
                <w:rFonts w:ascii="Arial" w:hAnsi="Arial" w:cs="Arial"/>
                <w:i/>
                <w:sz w:val="22"/>
                <w:szCs w:val="22"/>
                <w:vertAlign w:val="superscript"/>
                <w:lang w:val="en-AU" w:eastAsia="en-GB"/>
              </w:rPr>
              <w:t>7</w:t>
            </w:r>
            <w:r w:rsidRPr="00412E95">
              <w:rPr>
                <w:rFonts w:asciiTheme="minorHAnsi" w:eastAsiaTheme="minorHAnsi" w:hAnsiTheme="minorHAnsi" w:cstheme="minorBidi"/>
                <w:sz w:val="22"/>
                <w:szCs w:val="22"/>
                <w:lang w:val="en-AU"/>
              </w:rPr>
              <w:t xml:space="preserve"> </w:t>
            </w:r>
            <w:r w:rsidRPr="00412E95">
              <w:rPr>
                <w:rFonts w:ascii="Arial" w:eastAsiaTheme="minorHAnsi" w:hAnsi="Arial" w:cs="Arial"/>
                <w:i/>
                <w:iCs/>
                <w:sz w:val="22"/>
                <w:szCs w:val="22"/>
                <w:lang w:val="en-AU"/>
              </w:rPr>
              <w:t>Department of Thoracic Medicine,</w:t>
            </w:r>
            <w:r>
              <w:rPr>
                <w:rFonts w:asciiTheme="minorHAnsi" w:eastAsiaTheme="minorHAnsi" w:hAnsiTheme="minorHAnsi" w:cstheme="minorBidi"/>
                <w:sz w:val="22"/>
                <w:szCs w:val="22"/>
                <w:lang w:val="en-AU"/>
              </w:rPr>
              <w:t xml:space="preserve"> </w:t>
            </w:r>
            <w:r w:rsidRPr="00412E95">
              <w:rPr>
                <w:rFonts w:ascii="Arial" w:hAnsi="Arial" w:cs="Arial"/>
                <w:i/>
                <w:sz w:val="22"/>
                <w:szCs w:val="22"/>
                <w:lang w:eastAsia="en-GB"/>
              </w:rPr>
              <w:t xml:space="preserve">The Prince Charles Hospital, Chermside, </w:t>
            </w:r>
            <w:r>
              <w:rPr>
                <w:rFonts w:ascii="Arial" w:hAnsi="Arial" w:cs="Arial"/>
                <w:i/>
                <w:sz w:val="22"/>
                <w:szCs w:val="22"/>
                <w:lang w:eastAsia="en-GB"/>
              </w:rPr>
              <w:t>AU</w:t>
            </w:r>
          </w:p>
        </w:tc>
      </w:tr>
      <w:tr w:rsidR="005E01E8" w:rsidRPr="0050053A" w14:paraId="6DAF615A" w14:textId="77777777" w:rsidTr="002B0635">
        <w:trPr>
          <w:trHeight w:hRule="exact" w:val="10349"/>
          <w:jc w:val="center"/>
        </w:trPr>
        <w:tc>
          <w:tcPr>
            <w:tcW w:w="8640" w:type="dxa"/>
            <w:shd w:val="clear" w:color="auto" w:fill="auto"/>
          </w:tcPr>
          <w:p w14:paraId="739E7937" w14:textId="77777777" w:rsidR="005E01E8" w:rsidRPr="0050053A" w:rsidRDefault="005E01E8" w:rsidP="005E01E8">
            <w:pPr>
              <w:pStyle w:val="Pa12"/>
              <w:rPr>
                <w:rStyle w:val="A4"/>
              </w:rPr>
            </w:pPr>
            <w:r>
              <w:rPr>
                <w:rStyle w:val="A4"/>
                <w:b/>
                <w:bCs/>
              </w:rPr>
              <w:t>Introduction/</w:t>
            </w:r>
            <w:r w:rsidRPr="0050053A">
              <w:rPr>
                <w:rStyle w:val="A4"/>
                <w:b/>
                <w:bCs/>
              </w:rPr>
              <w:t xml:space="preserve">Aim: </w:t>
            </w:r>
          </w:p>
          <w:p w14:paraId="3D770CF7" w14:textId="4758DFAC" w:rsidR="005E01E8" w:rsidRPr="005E01E8" w:rsidRDefault="005E01E8" w:rsidP="005E01E8">
            <w:pPr>
              <w:pStyle w:val="Pa12"/>
              <w:rPr>
                <w:rStyle w:val="A4"/>
                <w:color w:val="auto"/>
              </w:rPr>
            </w:pPr>
            <w:r w:rsidRPr="00A8544F">
              <w:rPr>
                <w:sz w:val="22"/>
                <w:szCs w:val="22"/>
                <w:lang w:val="en-AU"/>
              </w:rPr>
              <w:t>Smartphone apps hold potential for increasing the effectiveness of tobacco quit attempts, yet there is limited evidence to support the numerous smoking cessation apps that are available. We conducted a systematic review with meta-analyses of Randomised Controlled Trials (RCTs) of tobacco cessation apps among people aged 15 and over who used tobacco.</w:t>
            </w:r>
          </w:p>
          <w:p w14:paraId="2E046FE1" w14:textId="77777777" w:rsidR="002B0635" w:rsidRDefault="002B0635" w:rsidP="005E01E8">
            <w:pPr>
              <w:pStyle w:val="Pa12"/>
              <w:rPr>
                <w:rStyle w:val="A4"/>
                <w:b/>
                <w:bCs/>
              </w:rPr>
            </w:pPr>
          </w:p>
          <w:p w14:paraId="1B39336E" w14:textId="7A9129FB" w:rsidR="005E01E8" w:rsidRPr="0050053A" w:rsidRDefault="005E01E8" w:rsidP="005E01E8">
            <w:pPr>
              <w:pStyle w:val="Pa12"/>
              <w:rPr>
                <w:rStyle w:val="A4"/>
                <w:b/>
                <w:bCs/>
              </w:rPr>
            </w:pPr>
            <w:r w:rsidRPr="0050053A">
              <w:rPr>
                <w:rStyle w:val="A4"/>
                <w:b/>
                <w:bCs/>
              </w:rPr>
              <w:t>Method</w:t>
            </w:r>
            <w:r>
              <w:rPr>
                <w:rStyle w:val="A4"/>
                <w:b/>
                <w:bCs/>
              </w:rPr>
              <w:t>s</w:t>
            </w:r>
            <w:r w:rsidRPr="0050053A">
              <w:rPr>
                <w:rStyle w:val="A4"/>
                <w:b/>
                <w:bCs/>
              </w:rPr>
              <w:t xml:space="preserve">: </w:t>
            </w:r>
          </w:p>
          <w:p w14:paraId="1DB9C397" w14:textId="77777777" w:rsidR="002B0635" w:rsidRDefault="005E01E8" w:rsidP="005E01E8">
            <w:pPr>
              <w:pStyle w:val="Pa12"/>
              <w:rPr>
                <w:rStyle w:val="A4"/>
                <w:b/>
                <w:bCs/>
              </w:rPr>
            </w:pPr>
            <w:r w:rsidRPr="005D2688">
              <w:rPr>
                <w:sz w:val="22"/>
                <w:szCs w:val="22"/>
                <w:lang w:val="en-AU"/>
              </w:rPr>
              <w:t>A comprehensive search of seven databases was completed in June 2022 and updated in July 2023. The primary outcome was sustained tobacco abstinence, self-reported and/or biochemically validated, of at least 6 months. Random effects meta-analysis was conducted for subsets of RCTs with different control conditions. Cochrane Risk of bias assessment and GRADE assessment of the certainty of evidence was completed.</w:t>
            </w:r>
            <w:r>
              <w:rPr>
                <w:sz w:val="22"/>
                <w:szCs w:val="22"/>
              </w:rPr>
              <w:br/>
            </w:r>
          </w:p>
          <w:p w14:paraId="6BF3F094" w14:textId="330D3BBE" w:rsidR="005E01E8" w:rsidRPr="002B0635" w:rsidRDefault="005E01E8" w:rsidP="005E01E8">
            <w:pPr>
              <w:pStyle w:val="Pa12"/>
              <w:rPr>
                <w:rStyle w:val="A4"/>
                <w:color w:val="auto"/>
              </w:rPr>
            </w:pPr>
            <w:r w:rsidRPr="0050053A">
              <w:rPr>
                <w:rStyle w:val="A4"/>
                <w:b/>
                <w:bCs/>
              </w:rPr>
              <w:t xml:space="preserve">Results: </w:t>
            </w:r>
          </w:p>
          <w:p w14:paraId="71A79591" w14:textId="77777777" w:rsidR="002B0635" w:rsidRDefault="005E01E8" w:rsidP="005E01E8">
            <w:pPr>
              <w:pStyle w:val="Pa12"/>
            </w:pPr>
            <w:r w:rsidRPr="009E6990">
              <w:rPr>
                <w:sz w:val="22"/>
                <w:szCs w:val="22"/>
                <w:lang w:val="en-AU"/>
              </w:rPr>
              <w:t xml:space="preserve">From 2,226 studies, 45 RCTs met inclusion criteria. There was substantial heterogeneity between studies and outcome measures. Four random effects meta-analyses were completed: 1) compared to minimal interventions, such as usual care or a brochure, there was no evidence that apps are effective (8 RCTs, 5,424 participants; RR=0.93, 95% CI 0.79-1.09, </w:t>
            </w:r>
            <w:r w:rsidRPr="009E6990">
              <w:rPr>
                <w:i/>
                <w:iCs/>
                <w:sz w:val="22"/>
                <w:szCs w:val="22"/>
                <w:lang w:val="en-AU"/>
              </w:rPr>
              <w:t>p</w:t>
            </w:r>
            <w:r w:rsidRPr="009E6990">
              <w:rPr>
                <w:sz w:val="22"/>
                <w:szCs w:val="22"/>
                <w:lang w:val="en-AU"/>
              </w:rPr>
              <w:t>=0.4158); 2) compared to a control (minimal function) app, there was low certainty evidence of an overall benefit of full functionality apps (8 RCTs, 10,235 participants; RR=1.33, 95% CI 1.01-1.74,</w:t>
            </w:r>
            <w:r w:rsidRPr="009E6990">
              <w:rPr>
                <w:i/>
                <w:iCs/>
                <w:sz w:val="22"/>
                <w:szCs w:val="22"/>
                <w:lang w:val="en-AU"/>
              </w:rPr>
              <w:t xml:space="preserve"> p</w:t>
            </w:r>
            <w:r w:rsidRPr="009E6990">
              <w:rPr>
                <w:sz w:val="22"/>
                <w:szCs w:val="22"/>
                <w:lang w:val="en-AU"/>
              </w:rPr>
              <w:t xml:space="preserve">=0.0411); 3) there was no evidence that apps provide incremental benefit when added to other behavioural support (2 RCTs, 144 participants; </w:t>
            </w:r>
            <w:r w:rsidRPr="009E6990">
              <w:rPr>
                <w:sz w:val="22"/>
                <w:szCs w:val="22"/>
                <w:lang w:val="en-US"/>
              </w:rPr>
              <w:t xml:space="preserve">RR=0.99, 95% CI 0.59-1.67, </w:t>
            </w:r>
            <w:r w:rsidRPr="009E6990">
              <w:rPr>
                <w:i/>
                <w:iCs/>
                <w:sz w:val="22"/>
                <w:szCs w:val="22"/>
                <w:lang w:val="en-US"/>
              </w:rPr>
              <w:t>p</w:t>
            </w:r>
            <w:r w:rsidRPr="009E6990">
              <w:rPr>
                <w:sz w:val="22"/>
                <w:szCs w:val="22"/>
                <w:lang w:val="en-US"/>
              </w:rPr>
              <w:t>=0.9695); 4) t</w:t>
            </w:r>
            <w:r w:rsidRPr="009E6990">
              <w:rPr>
                <w:sz w:val="22"/>
                <w:szCs w:val="22"/>
                <w:lang w:val="en-AU"/>
              </w:rPr>
              <w:t>here was moderate certainty evidence of an incremental benefit of adding an app to pharmacotherapy (5 RCTS, 1798 participants; RR</w:t>
            </w:r>
            <w:r w:rsidRPr="009E6990">
              <w:rPr>
                <w:sz w:val="22"/>
                <w:szCs w:val="22"/>
                <w:lang w:val="en-US"/>
              </w:rPr>
              <w:t xml:space="preserve">=1.28, 95% CI 1.12-1.47, </w:t>
            </w:r>
            <w:r w:rsidRPr="009E6990">
              <w:rPr>
                <w:i/>
                <w:iCs/>
                <w:sz w:val="22"/>
                <w:szCs w:val="22"/>
                <w:lang w:val="en-US"/>
              </w:rPr>
              <w:t>p</w:t>
            </w:r>
            <w:r w:rsidRPr="009E6990">
              <w:rPr>
                <w:sz w:val="22"/>
                <w:szCs w:val="22"/>
                <w:lang w:val="en-US"/>
              </w:rPr>
              <w:t>&lt;0.001).</w:t>
            </w:r>
            <w:r>
              <w:rPr>
                <w:sz w:val="22"/>
                <w:szCs w:val="22"/>
              </w:rPr>
              <w:br/>
            </w:r>
          </w:p>
          <w:p w14:paraId="652F7BE1" w14:textId="3142FB18" w:rsidR="005E01E8" w:rsidRPr="002B0635" w:rsidRDefault="005E01E8" w:rsidP="005E01E8">
            <w:pPr>
              <w:pStyle w:val="Pa12"/>
              <w:rPr>
                <w:rStyle w:val="A4"/>
                <w:color w:val="auto"/>
              </w:rPr>
            </w:pPr>
            <w:r w:rsidRPr="0050053A">
              <w:rPr>
                <w:rStyle w:val="A4"/>
                <w:b/>
                <w:bCs/>
              </w:rPr>
              <w:t xml:space="preserve">Conclusion: </w:t>
            </w:r>
          </w:p>
          <w:p w14:paraId="196E7BAC" w14:textId="151259C5" w:rsidR="005E01E8" w:rsidRPr="002B0635" w:rsidRDefault="002B0635" w:rsidP="005E01E8">
            <w:pPr>
              <w:pStyle w:val="Pa12"/>
              <w:rPr>
                <w:rStyle w:val="A4"/>
                <w:color w:val="auto"/>
              </w:rPr>
            </w:pPr>
            <w:r w:rsidRPr="00617D65">
              <w:rPr>
                <w:sz w:val="22"/>
                <w:szCs w:val="22"/>
                <w:lang w:val="en-AU"/>
              </w:rPr>
              <w:t>There is emerging evidence that smartphone apps may provide an additional benefit alongside pharmacotherapy for tobacco cessation and that apps with greater functionality are more effective than basic apps, but the evidence does not currently support apps compared to minimal tobacco cessation interventions or as an adjunct to counselling support</w:t>
            </w:r>
            <w:r w:rsidR="005E01E8">
              <w:rPr>
                <w:sz w:val="22"/>
                <w:szCs w:val="22"/>
              </w:rPr>
              <w:br/>
            </w:r>
          </w:p>
          <w:p w14:paraId="3E8B4283" w14:textId="77777777" w:rsidR="005E01E8" w:rsidRPr="0050053A" w:rsidRDefault="005E01E8" w:rsidP="005E01E8">
            <w:pPr>
              <w:pStyle w:val="Pa12"/>
              <w:rPr>
                <w:rStyle w:val="A4"/>
                <w:b/>
                <w:bCs/>
              </w:rPr>
            </w:pPr>
            <w:r w:rsidRPr="0050053A">
              <w:rPr>
                <w:rStyle w:val="A4"/>
                <w:b/>
                <w:bCs/>
              </w:rPr>
              <w:t xml:space="preserve">Grant Support: </w:t>
            </w:r>
          </w:p>
          <w:p w14:paraId="5F58D34F" w14:textId="5D95517A" w:rsidR="005E01E8" w:rsidRPr="002B0635" w:rsidRDefault="002B0635" w:rsidP="002B0635">
            <w:pPr>
              <w:pStyle w:val="Pa12"/>
              <w:rPr>
                <w:sz w:val="22"/>
                <w:szCs w:val="22"/>
              </w:rPr>
            </w:pPr>
            <w:r w:rsidRPr="000C5C72">
              <w:rPr>
                <w:sz w:val="22"/>
                <w:szCs w:val="22"/>
                <w:lang w:val="en-AU"/>
              </w:rPr>
              <w:t xml:space="preserve">HM and GC are supported by NHMRC fellowships. CG receives funding from NHMRC grant GNT1198301 and is supported by an ARC Future Fellowship. </w:t>
            </w:r>
            <w:r>
              <w:rPr>
                <w:sz w:val="22"/>
                <w:szCs w:val="22"/>
                <w:lang w:val="en-AU"/>
              </w:rPr>
              <w:t xml:space="preserve">The </w:t>
            </w:r>
            <w:r w:rsidRPr="000C5C72">
              <w:rPr>
                <w:sz w:val="22"/>
                <w:szCs w:val="22"/>
                <w:lang w:val="en-AU"/>
              </w:rPr>
              <w:t>W</w:t>
            </w:r>
            <w:r>
              <w:rPr>
                <w:sz w:val="22"/>
                <w:szCs w:val="22"/>
                <w:lang w:val="en-AU"/>
              </w:rPr>
              <w:t xml:space="preserve">orld </w:t>
            </w:r>
            <w:r w:rsidRPr="000C5C72">
              <w:rPr>
                <w:sz w:val="22"/>
                <w:szCs w:val="22"/>
                <w:lang w:val="en-AU"/>
              </w:rPr>
              <w:t>H</w:t>
            </w:r>
            <w:r>
              <w:rPr>
                <w:sz w:val="22"/>
                <w:szCs w:val="22"/>
                <w:lang w:val="en-AU"/>
              </w:rPr>
              <w:t xml:space="preserve">ealth </w:t>
            </w:r>
            <w:r w:rsidRPr="000C5C72">
              <w:rPr>
                <w:sz w:val="22"/>
                <w:szCs w:val="22"/>
                <w:lang w:val="en-AU"/>
              </w:rPr>
              <w:t>O</w:t>
            </w:r>
            <w:r>
              <w:rPr>
                <w:sz w:val="22"/>
                <w:szCs w:val="22"/>
                <w:lang w:val="en-AU"/>
              </w:rPr>
              <w:t>rganization</w:t>
            </w:r>
            <w:r w:rsidRPr="000C5C72">
              <w:rPr>
                <w:sz w:val="22"/>
                <w:szCs w:val="22"/>
                <w:lang w:val="en-AU"/>
              </w:rPr>
              <w:t xml:space="preserve"> provided funding support to subsidise the review</w:t>
            </w:r>
            <w:r>
              <w:rPr>
                <w:sz w:val="22"/>
                <w:szCs w:val="22"/>
                <w:lang w:val="en-AU"/>
              </w:rPr>
              <w:t>.</w:t>
            </w:r>
          </w:p>
        </w:tc>
      </w:tr>
    </w:tbl>
    <w:p w14:paraId="7C36A9DC" w14:textId="32A70617" w:rsidR="00E0700F" w:rsidRDefault="00E0700F" w:rsidP="002B0635"/>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wNTc0MTU0MLS0NDZQ0lEKTi0uzszPAykwrAUAesUjkCwAAAA="/>
  </w:docVars>
  <w:rsids>
    <w:rsidRoot w:val="001564A4"/>
    <w:rsid w:val="001564A4"/>
    <w:rsid w:val="002B0635"/>
    <w:rsid w:val="004E02ED"/>
    <w:rsid w:val="0051574E"/>
    <w:rsid w:val="0054272A"/>
    <w:rsid w:val="005E01E8"/>
    <w:rsid w:val="008803FA"/>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Hollie Bendotti</cp:lastModifiedBy>
  <cp:revision>3</cp:revision>
  <dcterms:created xsi:type="dcterms:W3CDTF">2023-10-20T00:14:00Z</dcterms:created>
  <dcterms:modified xsi:type="dcterms:W3CDTF">2023-10-20T00:22:00Z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