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1564A4" w:rsidRPr="0050053A" w14:paraId="5C38377B" w14:textId="77777777" w:rsidTr="002D7440">
        <w:trPr>
          <w:trHeight w:val="755"/>
          <w:jc w:val="center"/>
        </w:trPr>
        <w:tc>
          <w:tcPr>
            <w:tcW w:w="9209" w:type="dxa"/>
            <w:shd w:val="clear" w:color="auto" w:fill="auto"/>
          </w:tcPr>
          <w:p w14:paraId="5C44F357" w14:textId="75E1F86D" w:rsidR="001564A4" w:rsidRPr="006A2A70" w:rsidRDefault="007D1A4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bookmarkStart w:id="0" w:name="_Hlk146711621"/>
            <w:r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Activity </w:t>
            </w:r>
            <w:proofErr w:type="spellStart"/>
            <w:r w:rsidR="00346918"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</w:t>
            </w:r>
            <w:r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ehaviours</w:t>
            </w:r>
            <w:proofErr w:type="spellEnd"/>
            <w:r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 </w:t>
            </w:r>
            <w:r w:rsidR="00346918"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atients with </w:t>
            </w:r>
            <w:r w:rsidR="00346918"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</w:t>
            </w:r>
            <w:r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alignant </w:t>
            </w:r>
            <w:r w:rsidR="00346918"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leural </w:t>
            </w:r>
            <w:r w:rsidR="00346918"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Pr="006A2A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ffusion: relationship with quality of life.</w:t>
            </w:r>
          </w:p>
        </w:tc>
      </w:tr>
      <w:tr w:rsidR="001564A4" w:rsidRPr="0050053A" w14:paraId="0E2E035C" w14:textId="77777777" w:rsidTr="002D7440">
        <w:trPr>
          <w:trHeight w:val="1032"/>
          <w:jc w:val="center"/>
        </w:trPr>
        <w:tc>
          <w:tcPr>
            <w:tcW w:w="9209" w:type="dxa"/>
            <w:shd w:val="clear" w:color="auto" w:fill="auto"/>
          </w:tcPr>
          <w:p w14:paraId="73B55295" w14:textId="23884285" w:rsidR="001564A4" w:rsidRPr="006A2A70" w:rsidRDefault="007D1A4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Bianca Iacopetta</w:t>
            </w:r>
            <w:r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Joanne McVeigh</w:t>
            </w:r>
            <w:r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David CL Lam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Fifian</w:t>
            </w:r>
            <w:proofErr w:type="spellEnd"/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 Chiang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Macy MS Lui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Johnny WM Chan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WL Law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Jenny Ngai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 Ken KP Chan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8138E0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,</w:t>
            </w:r>
            <w:r w:rsidR="00BC6A91"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 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Y C Gary Lee</w:t>
            </w:r>
            <w:r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307B43"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, Carolyn </w:t>
            </w:r>
            <w:r w:rsidRPr="006A2A7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McIntyre</w:t>
            </w:r>
            <w:r w:rsidRPr="006A2A70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BC6A91" w:rsidRPr="006A2A70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7D1A4D" w:rsidRPr="0050053A" w14:paraId="385A19D9" w14:textId="77777777" w:rsidTr="002D7440">
        <w:trPr>
          <w:trHeight w:val="139"/>
          <w:jc w:val="center"/>
        </w:trPr>
        <w:tc>
          <w:tcPr>
            <w:tcW w:w="9209" w:type="dxa"/>
            <w:shd w:val="clear" w:color="auto" w:fill="auto"/>
          </w:tcPr>
          <w:p w14:paraId="34FA9769" w14:textId="0AF70F07" w:rsidR="007D1A4D" w:rsidRPr="006A2A70" w:rsidRDefault="007D1A4D" w:rsidP="003428E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Pleural Medicine Unit, Institute for Respiratory Health, Western Australia, Australia.</w:t>
            </w:r>
          </w:p>
          <w:p w14:paraId="0C8F68F8" w14:textId="04E1CBA8" w:rsidR="007D1A4D" w:rsidRPr="006A2A70" w:rsidRDefault="007D1A4D" w:rsidP="003428E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Medical and Health Sciences, Edith Cowan University, Western Australia, Australia.</w:t>
            </w:r>
          </w:p>
          <w:p w14:paraId="74BAB30E" w14:textId="0F6E02E4" w:rsidR="007D1A4D" w:rsidRPr="006A2A70" w:rsidRDefault="007D1A4D" w:rsidP="003428E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3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Curtin School of Allied Health, Curtin University, Western Australi</w:t>
            </w:r>
            <w:r w:rsidR="001D454C" w:rsidRPr="006A2A7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, Australia </w:t>
            </w:r>
          </w:p>
          <w:p w14:paraId="0A718F51" w14:textId="23C6EB25" w:rsidR="00307B43" w:rsidRPr="006A2A70" w:rsidRDefault="00307B43" w:rsidP="003428E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Department, Queen Mary Hospital, Hong Kong S.A.R.</w:t>
            </w:r>
          </w:p>
          <w:p w14:paraId="2137AABB" w14:textId="37335504" w:rsidR="00307B43" w:rsidRPr="006A2A70" w:rsidRDefault="00307B43" w:rsidP="003428E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Department, Queen Elizabeth Hospital, Hong Kong S.A.R.</w:t>
            </w:r>
          </w:p>
          <w:p w14:paraId="14F0A05F" w14:textId="6B6EE3FA" w:rsidR="00307B43" w:rsidRPr="006A2A70" w:rsidRDefault="00307B43" w:rsidP="00307B4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 and Therapeutics, Prince of Wales Hospital, Hong Kong S.A.R.</w:t>
            </w:r>
          </w:p>
          <w:p w14:paraId="47514C80" w14:textId="5E2E6EA8" w:rsidR="00307B43" w:rsidRPr="006A2A70" w:rsidRDefault="00307B43" w:rsidP="003428E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A2A70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 and Therapeutics, Chinese University of Hong Kong, Hong Kong S.A.R</w:t>
            </w:r>
          </w:p>
          <w:p w14:paraId="75A852AF" w14:textId="77777777" w:rsidR="00307B43" w:rsidRPr="006A2A70" w:rsidRDefault="00307B43" w:rsidP="003428E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7D1A4D"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Sir Charles Gairdner Hospital, Western Australia, Australia.</w:t>
            </w:r>
          </w:p>
          <w:p w14:paraId="45ED36BF" w14:textId="77330E95" w:rsidR="008138E0" w:rsidRPr="006A2A70" w:rsidRDefault="00307B43" w:rsidP="00307B4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highlight w:val="green"/>
                <w:lang w:val="en-US" w:eastAsia="en-GB"/>
              </w:rPr>
            </w:pPr>
            <w:r w:rsidRPr="006A2A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="007D1A4D" w:rsidRPr="006A2A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Respiratory Health, School of Medicine, University of Western Australia, Western Australia, Australia.</w:t>
            </w:r>
          </w:p>
        </w:tc>
      </w:tr>
      <w:tr w:rsidR="007D1A4D" w:rsidRPr="005F13E4" w14:paraId="6DAF615A" w14:textId="77777777" w:rsidTr="002D7440">
        <w:trPr>
          <w:trHeight w:hRule="exact" w:val="7555"/>
          <w:jc w:val="center"/>
        </w:trPr>
        <w:tc>
          <w:tcPr>
            <w:tcW w:w="9209" w:type="dxa"/>
            <w:shd w:val="clear" w:color="auto" w:fill="auto"/>
          </w:tcPr>
          <w:p w14:paraId="4EBB9829" w14:textId="1EDDC9CE" w:rsidR="007D1A4D" w:rsidRPr="006A2A70" w:rsidRDefault="007D1A4D" w:rsidP="003428E6">
            <w:pPr>
              <w:pStyle w:val="Pa12"/>
              <w:spacing w:line="240" w:lineRule="auto"/>
              <w:rPr>
                <w:rStyle w:val="A4"/>
              </w:rPr>
            </w:pPr>
            <w:r w:rsidRPr="006A2A70">
              <w:rPr>
                <w:rStyle w:val="A4"/>
                <w:b/>
                <w:bCs/>
              </w:rPr>
              <w:t>Introduction/Aim:</w:t>
            </w:r>
            <w:r w:rsidR="009079BB" w:rsidRPr="006A2A70">
              <w:rPr>
                <w:rStyle w:val="A4"/>
                <w:b/>
                <w:bCs/>
              </w:rPr>
              <w:t xml:space="preserve"> </w:t>
            </w:r>
            <w:r w:rsidRPr="006A2A70">
              <w:rPr>
                <w:rStyle w:val="A4"/>
              </w:rPr>
              <w:t xml:space="preserve">Malignant pleural effusion (MPE) </w:t>
            </w:r>
            <w:r w:rsidR="00971B94" w:rsidRPr="006A2A70">
              <w:rPr>
                <w:rStyle w:val="A4"/>
              </w:rPr>
              <w:t xml:space="preserve">complicates most cancers. </w:t>
            </w:r>
            <w:proofErr w:type="spellStart"/>
            <w:r w:rsidR="00971B94" w:rsidRPr="006A2A70">
              <w:rPr>
                <w:rStyle w:val="A4"/>
              </w:rPr>
              <w:t>A</w:t>
            </w:r>
            <w:r w:rsidRPr="006A2A70">
              <w:rPr>
                <w:rStyle w:val="A4"/>
              </w:rPr>
              <w:t>ccelerometry</w:t>
            </w:r>
            <w:proofErr w:type="spellEnd"/>
            <w:r w:rsidRPr="006A2A70">
              <w:rPr>
                <w:rStyle w:val="A4"/>
              </w:rPr>
              <w:t xml:space="preserve"> </w:t>
            </w:r>
            <w:r w:rsidR="00971B94" w:rsidRPr="006A2A70">
              <w:rPr>
                <w:rStyle w:val="A4"/>
              </w:rPr>
              <w:t>has been</w:t>
            </w:r>
            <w:r w:rsidRPr="006A2A70">
              <w:rPr>
                <w:rStyle w:val="A4"/>
              </w:rPr>
              <w:t xml:space="preserve"> used to measure activity behaviours i</w:t>
            </w:r>
            <w:r w:rsidR="00743B2E" w:rsidRPr="006A2A70">
              <w:rPr>
                <w:rStyle w:val="A4"/>
              </w:rPr>
              <w:t xml:space="preserve">n </w:t>
            </w:r>
            <w:r w:rsidRPr="006A2A70">
              <w:rPr>
                <w:rStyle w:val="A4"/>
              </w:rPr>
              <w:t xml:space="preserve">patients with </w:t>
            </w:r>
            <w:r w:rsidR="00971B94" w:rsidRPr="006A2A70">
              <w:rPr>
                <w:rStyle w:val="A4"/>
              </w:rPr>
              <w:t>MPE</w:t>
            </w:r>
            <w:r w:rsidR="00743B2E" w:rsidRPr="006A2A70">
              <w:rPr>
                <w:rStyle w:val="A4"/>
              </w:rPr>
              <w:t>, predominantly in Caucasian populations,</w:t>
            </w:r>
            <w:r w:rsidR="00971B94" w:rsidRPr="006A2A70">
              <w:rPr>
                <w:rStyle w:val="A4"/>
              </w:rPr>
              <w:t xml:space="preserve"> but has rarely</w:t>
            </w:r>
            <w:r w:rsidRPr="006A2A70">
              <w:rPr>
                <w:rStyle w:val="A4"/>
              </w:rPr>
              <w:t xml:space="preserve"> been reported in other populations. The purpose of this study was to evaluate physical activity and sedentary behaviour profiles of patients with MPE</w:t>
            </w:r>
            <w:r w:rsidR="00743B2E" w:rsidRPr="006A2A70">
              <w:rPr>
                <w:rStyle w:val="A4"/>
              </w:rPr>
              <w:t xml:space="preserve"> in a Chinese population</w:t>
            </w:r>
            <w:r w:rsidRPr="006A2A70">
              <w:rPr>
                <w:rStyle w:val="A4"/>
              </w:rPr>
              <w:t xml:space="preserve">, and to explore relationships between activity behaviours and quality of life (QoL). </w:t>
            </w:r>
          </w:p>
          <w:p w14:paraId="3D93A313" w14:textId="77777777" w:rsidR="009079BB" w:rsidRPr="006A2A70" w:rsidRDefault="009079BB" w:rsidP="009079BB">
            <w:pPr>
              <w:pStyle w:val="Default"/>
              <w:rPr>
                <w:sz w:val="22"/>
                <w:szCs w:val="22"/>
              </w:rPr>
            </w:pPr>
          </w:p>
          <w:p w14:paraId="1B39336E" w14:textId="63E3F56E" w:rsidR="007D1A4D" w:rsidRPr="006A2A70" w:rsidRDefault="007D1A4D" w:rsidP="003428E6">
            <w:pPr>
              <w:pStyle w:val="Pa12"/>
              <w:spacing w:line="240" w:lineRule="auto"/>
              <w:rPr>
                <w:rStyle w:val="A4"/>
              </w:rPr>
            </w:pPr>
            <w:r w:rsidRPr="006A2A70">
              <w:rPr>
                <w:rStyle w:val="A4"/>
                <w:b/>
                <w:bCs/>
              </w:rPr>
              <w:t xml:space="preserve">Methods: </w:t>
            </w:r>
            <w:r w:rsidRPr="006A2A70">
              <w:rPr>
                <w:rStyle w:val="A4"/>
              </w:rPr>
              <w:t xml:space="preserve">Eligible participants wore an </w:t>
            </w:r>
            <w:proofErr w:type="spellStart"/>
            <w:r w:rsidRPr="006A2A70">
              <w:rPr>
                <w:rStyle w:val="A4"/>
              </w:rPr>
              <w:t>Actigraph</w:t>
            </w:r>
            <w:proofErr w:type="spellEnd"/>
            <w:r w:rsidRPr="006A2A70">
              <w:rPr>
                <w:rStyle w:val="A4"/>
              </w:rPr>
              <w:t xml:space="preserve"> GT3X+ accelerometer continuously for 7 consecutive days. A valid day was defined as 8-h/day of waking wear time and participants with ≥1 valid days were included. The EuroQoL­5 Dimensions­5 Levels (EQ­5D­5L) was used to assess five dimensions of QoL (</w:t>
            </w:r>
            <w:proofErr w:type="gramStart"/>
            <w:r w:rsidRPr="006A2A70">
              <w:rPr>
                <w:rStyle w:val="A4"/>
              </w:rPr>
              <w:t>i.e.</w:t>
            </w:r>
            <w:proofErr w:type="gramEnd"/>
            <w:r w:rsidRPr="006A2A70">
              <w:rPr>
                <w:rStyle w:val="A4"/>
              </w:rPr>
              <w:t xml:space="preserve"> mobility, self-care, usual activities, pain/discomfort, anxiety/depression) and correlated with activity behaviours using </w:t>
            </w:r>
            <w:proofErr w:type="spellStart"/>
            <w:r w:rsidRPr="006A2A70">
              <w:rPr>
                <w:rStyle w:val="A4"/>
              </w:rPr>
              <w:t>spearmans</w:t>
            </w:r>
            <w:proofErr w:type="spellEnd"/>
            <w:r w:rsidRPr="006A2A70">
              <w:rPr>
                <w:rStyle w:val="A4"/>
              </w:rPr>
              <w:t xml:space="preserve"> rank order correlations. </w:t>
            </w:r>
          </w:p>
          <w:p w14:paraId="3B4B5B85" w14:textId="77777777" w:rsidR="009079BB" w:rsidRPr="006A2A70" w:rsidRDefault="009079BB" w:rsidP="009079BB">
            <w:pPr>
              <w:pStyle w:val="Default"/>
              <w:rPr>
                <w:sz w:val="22"/>
                <w:szCs w:val="22"/>
              </w:rPr>
            </w:pPr>
          </w:p>
          <w:p w14:paraId="21227050" w14:textId="70EB1F57" w:rsidR="00846418" w:rsidRPr="006A2A70" w:rsidRDefault="00846418" w:rsidP="003428E6">
            <w:pPr>
              <w:pStyle w:val="Default"/>
              <w:rPr>
                <w:sz w:val="22"/>
                <w:szCs w:val="22"/>
              </w:rPr>
            </w:pPr>
            <w:r w:rsidRPr="006A2A70">
              <w:rPr>
                <w:rStyle w:val="A4"/>
                <w:b/>
                <w:bCs/>
              </w:rPr>
              <w:t xml:space="preserve">Results: </w:t>
            </w:r>
            <w:r w:rsidRPr="006A2A70">
              <w:rPr>
                <w:rStyle w:val="A4"/>
              </w:rPr>
              <w:t xml:space="preserve">51 patients with MPE received accelerometers; 48 (94%) had ≥1 valid days of </w:t>
            </w:r>
          </w:p>
          <w:p w14:paraId="6A581BF1" w14:textId="77777777" w:rsidR="009079BB" w:rsidRPr="006A2A70" w:rsidRDefault="00846418" w:rsidP="003428E6">
            <w:pPr>
              <w:pStyle w:val="Pa12"/>
              <w:rPr>
                <w:rStyle w:val="A4"/>
              </w:rPr>
            </w:pPr>
            <w:r w:rsidRPr="006A2A70">
              <w:rPr>
                <w:rStyle w:val="A4"/>
              </w:rPr>
              <w:t>data.</w:t>
            </w:r>
            <w:r w:rsidR="003428E6" w:rsidRPr="006A2A70">
              <w:rPr>
                <w:sz w:val="22"/>
                <w:szCs w:val="22"/>
              </w:rPr>
              <w:t xml:space="preserve"> </w:t>
            </w:r>
            <w:r w:rsidR="003428E6" w:rsidRPr="006A2A70">
              <w:rPr>
                <w:rStyle w:val="A4"/>
              </w:rPr>
              <w:t>Relative to waking hours, participants spent limited time participating in light activities [mean 23% (SD 1.40)] and moderate-to-vigorous physical activity (MVPA) [median 0.3% [IQR 0.0 – 1.5]]. Participants spent most of their waking hours sedentary [mean 76% (SD 2.32)].  Increased light and MVPA behaviours were associated with increased participation in self-care tasks (</w:t>
            </w:r>
            <w:proofErr w:type="spellStart"/>
            <w:r w:rsidR="003428E6" w:rsidRPr="006A2A70">
              <w:rPr>
                <w:rStyle w:val="A4"/>
              </w:rPr>
              <w:t>r</w:t>
            </w:r>
            <w:r w:rsidR="003428E6" w:rsidRPr="006A2A70">
              <w:rPr>
                <w:rStyle w:val="A4"/>
                <w:vertAlign w:val="subscript"/>
              </w:rPr>
              <w:t>s</w:t>
            </w:r>
            <w:proofErr w:type="spellEnd"/>
            <w:r w:rsidR="003428E6" w:rsidRPr="006A2A70">
              <w:rPr>
                <w:rStyle w:val="A4"/>
              </w:rPr>
              <w:t xml:space="preserve">= -0.43, p= 0.003; </w:t>
            </w:r>
            <w:proofErr w:type="spellStart"/>
            <w:r w:rsidR="003428E6" w:rsidRPr="006A2A70">
              <w:rPr>
                <w:rStyle w:val="A4"/>
              </w:rPr>
              <w:t>r</w:t>
            </w:r>
            <w:r w:rsidR="003428E6" w:rsidRPr="006A2A70">
              <w:rPr>
                <w:rStyle w:val="A4"/>
                <w:vertAlign w:val="subscript"/>
              </w:rPr>
              <w:t>s</w:t>
            </w:r>
            <w:proofErr w:type="spellEnd"/>
            <w:r w:rsidR="003428E6" w:rsidRPr="006A2A70">
              <w:rPr>
                <w:rStyle w:val="A4"/>
              </w:rPr>
              <w:t>= -0.45, p= 0.001 respectively) and usual activities (</w:t>
            </w:r>
            <w:proofErr w:type="spellStart"/>
            <w:r w:rsidR="003428E6" w:rsidRPr="006A2A70">
              <w:rPr>
                <w:rStyle w:val="A4"/>
              </w:rPr>
              <w:t>r</w:t>
            </w:r>
            <w:r w:rsidR="003428E6" w:rsidRPr="006A2A70">
              <w:rPr>
                <w:rStyle w:val="A4"/>
                <w:vertAlign w:val="subscript"/>
              </w:rPr>
              <w:t>s</w:t>
            </w:r>
            <w:proofErr w:type="spellEnd"/>
            <w:r w:rsidR="003428E6" w:rsidRPr="006A2A70">
              <w:rPr>
                <w:rStyle w:val="A4"/>
              </w:rPr>
              <w:t xml:space="preserve">= -0.42, p= 0.003; </w:t>
            </w:r>
            <w:proofErr w:type="spellStart"/>
            <w:r w:rsidR="003428E6" w:rsidRPr="006A2A70">
              <w:rPr>
                <w:rStyle w:val="A4"/>
              </w:rPr>
              <w:t>r</w:t>
            </w:r>
            <w:r w:rsidR="003428E6" w:rsidRPr="006A2A70">
              <w:rPr>
                <w:rStyle w:val="A4"/>
                <w:vertAlign w:val="subscript"/>
              </w:rPr>
              <w:t>s</w:t>
            </w:r>
            <w:proofErr w:type="spellEnd"/>
            <w:r w:rsidR="003428E6" w:rsidRPr="006A2A70">
              <w:rPr>
                <w:rStyle w:val="A4"/>
              </w:rPr>
              <w:t xml:space="preserve">= -0.45, p= 0.001 respectively). In contrast, sedentary behaviours </w:t>
            </w:r>
          </w:p>
          <w:p w14:paraId="0C2F1EC4" w14:textId="5134D261" w:rsidR="003428E6" w:rsidRPr="006A2A70" w:rsidRDefault="003428E6" w:rsidP="003428E6">
            <w:pPr>
              <w:pStyle w:val="Pa12"/>
              <w:rPr>
                <w:rStyle w:val="A4"/>
              </w:rPr>
            </w:pPr>
            <w:r w:rsidRPr="006A2A70">
              <w:rPr>
                <w:rStyle w:val="A4"/>
              </w:rPr>
              <w:t>were associated with poorer participation in self-care tasks (</w:t>
            </w:r>
            <w:proofErr w:type="spellStart"/>
            <w:r w:rsidRPr="006A2A70">
              <w:rPr>
                <w:rStyle w:val="A4"/>
              </w:rPr>
              <w:t>r</w:t>
            </w:r>
            <w:r w:rsidRPr="006A2A70">
              <w:rPr>
                <w:rStyle w:val="A4"/>
                <w:vertAlign w:val="subscript"/>
              </w:rPr>
              <w:t>s</w:t>
            </w:r>
            <w:proofErr w:type="spellEnd"/>
            <w:r w:rsidRPr="006A2A70">
              <w:rPr>
                <w:rStyle w:val="A4"/>
              </w:rPr>
              <w:t xml:space="preserve">= 0.41, p= 0.004). </w:t>
            </w:r>
          </w:p>
          <w:p w14:paraId="7277A74E" w14:textId="77777777" w:rsidR="009079BB" w:rsidRPr="006A2A70" w:rsidRDefault="009079BB" w:rsidP="009079BB">
            <w:pPr>
              <w:pStyle w:val="Default"/>
              <w:rPr>
                <w:sz w:val="22"/>
                <w:szCs w:val="22"/>
              </w:rPr>
            </w:pPr>
          </w:p>
          <w:p w14:paraId="6B515C12" w14:textId="10B9BD24" w:rsidR="009079BB" w:rsidRPr="006A2A70" w:rsidRDefault="003428E6" w:rsidP="009079BB">
            <w:pPr>
              <w:pStyle w:val="Pa12"/>
              <w:rPr>
                <w:rStyle w:val="A4"/>
              </w:rPr>
            </w:pPr>
            <w:r w:rsidRPr="006A2A70">
              <w:rPr>
                <w:rStyle w:val="A4"/>
                <w:b/>
                <w:bCs/>
              </w:rPr>
              <w:t xml:space="preserve">Conclusion: </w:t>
            </w:r>
            <w:r w:rsidRPr="006A2A70">
              <w:rPr>
                <w:rStyle w:val="A4"/>
              </w:rPr>
              <w:t>This is the first reported</w:t>
            </w:r>
            <w:r w:rsidR="005E6C31" w:rsidRPr="006A2A70">
              <w:rPr>
                <w:rStyle w:val="A4"/>
              </w:rPr>
              <w:t xml:space="preserve"> study measuring</w:t>
            </w:r>
            <w:r w:rsidRPr="006A2A70">
              <w:rPr>
                <w:rStyle w:val="A4"/>
              </w:rPr>
              <w:t xml:space="preserve"> physical activity</w:t>
            </w:r>
            <w:r w:rsidR="005E6C31" w:rsidRPr="006A2A70">
              <w:rPr>
                <w:rStyle w:val="A4"/>
              </w:rPr>
              <w:t xml:space="preserve"> using </w:t>
            </w:r>
            <w:proofErr w:type="spellStart"/>
            <w:r w:rsidR="005E6C31" w:rsidRPr="006A2A70">
              <w:rPr>
                <w:rStyle w:val="A4"/>
              </w:rPr>
              <w:t>accelerometry</w:t>
            </w:r>
            <w:proofErr w:type="spellEnd"/>
            <w:r w:rsidR="005E6C31" w:rsidRPr="006A2A70">
              <w:rPr>
                <w:rStyle w:val="A4"/>
              </w:rPr>
              <w:t xml:space="preserve"> in</w:t>
            </w:r>
            <w:r w:rsidRPr="006A2A70">
              <w:rPr>
                <w:rStyle w:val="A4"/>
              </w:rPr>
              <w:t xml:space="preserve"> Chinese patients with MPE, showing this cohort demonstrate high sedentary behaviours and low physical activity which correlate with important dimensions of QoL.  </w:t>
            </w:r>
          </w:p>
          <w:p w14:paraId="42F23980" w14:textId="77777777" w:rsidR="009079BB" w:rsidRPr="006A2A70" w:rsidRDefault="009079BB" w:rsidP="009079BB">
            <w:pPr>
              <w:pStyle w:val="Default"/>
              <w:rPr>
                <w:sz w:val="22"/>
                <w:szCs w:val="22"/>
              </w:rPr>
            </w:pPr>
          </w:p>
          <w:p w14:paraId="69B04572" w14:textId="3E86A1AE" w:rsidR="007D1A4D" w:rsidRPr="006A2A70" w:rsidRDefault="003428E6" w:rsidP="003428E6">
            <w:pPr>
              <w:pStyle w:val="Pa1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6A2A70">
              <w:rPr>
                <w:rStyle w:val="A4"/>
                <w:b/>
                <w:bCs/>
              </w:rPr>
              <w:t>Grant Support:</w:t>
            </w:r>
            <w:r w:rsidRPr="006A2A70">
              <w:rPr>
                <w:rStyle w:val="A4"/>
              </w:rPr>
              <w:t xml:space="preserve"> Nil. </w:t>
            </w:r>
          </w:p>
          <w:p w14:paraId="2A651708" w14:textId="77777777" w:rsidR="007D1A4D" w:rsidRPr="006A2A70" w:rsidRDefault="007D1A4D" w:rsidP="006439C3">
            <w:pPr>
              <w:pStyle w:val="Pa12"/>
              <w:spacing w:line="360" w:lineRule="auto"/>
              <w:rPr>
                <w:sz w:val="22"/>
                <w:szCs w:val="22"/>
              </w:rPr>
            </w:pPr>
          </w:p>
          <w:p w14:paraId="033167F9" w14:textId="77777777" w:rsidR="007D1A4D" w:rsidRPr="006A2A70" w:rsidRDefault="007D1A4D" w:rsidP="006439C3">
            <w:pPr>
              <w:pStyle w:val="Pa12"/>
              <w:spacing w:line="360" w:lineRule="auto"/>
              <w:rPr>
                <w:rStyle w:val="A4"/>
                <w:bCs/>
              </w:rPr>
            </w:pPr>
            <w:r w:rsidRPr="006A2A70">
              <w:rPr>
                <w:rStyle w:val="A4"/>
                <w:bCs/>
              </w:rPr>
              <w:t xml:space="preserve"> </w:t>
            </w:r>
          </w:p>
          <w:p w14:paraId="3E8B4283" w14:textId="08F07E41" w:rsidR="007D1A4D" w:rsidRPr="006A2A70" w:rsidRDefault="007D1A4D" w:rsidP="005F13E4">
            <w:pPr>
              <w:pStyle w:val="Pa12"/>
              <w:spacing w:line="360" w:lineRule="auto"/>
              <w:rPr>
                <w:rStyle w:val="A4"/>
                <w:b/>
                <w:bCs/>
              </w:rPr>
            </w:pPr>
          </w:p>
          <w:p w14:paraId="7F8381F0" w14:textId="77777777" w:rsidR="007D1A4D" w:rsidRPr="006A2A70" w:rsidRDefault="007D1A4D" w:rsidP="006439C3">
            <w:pPr>
              <w:pStyle w:val="Pa12"/>
              <w:spacing w:line="360" w:lineRule="auto"/>
              <w:rPr>
                <w:sz w:val="22"/>
                <w:szCs w:val="22"/>
              </w:rPr>
            </w:pP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  <w:r w:rsidRPr="006A2A70">
              <w:rPr>
                <w:sz w:val="22"/>
                <w:szCs w:val="22"/>
              </w:rPr>
              <w:br/>
            </w:r>
          </w:p>
          <w:p w14:paraId="731CD908" w14:textId="77777777" w:rsidR="007D1A4D" w:rsidRPr="006A2A70" w:rsidRDefault="007D1A4D" w:rsidP="006439C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34BF0A0F" w14:textId="77777777" w:rsidR="007D1A4D" w:rsidRPr="006A2A70" w:rsidRDefault="007D1A4D" w:rsidP="006439C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1FF1A88F" w14:textId="77777777" w:rsidR="007D1A4D" w:rsidRPr="006A2A70" w:rsidRDefault="007D1A4D" w:rsidP="006439C3">
            <w:pPr>
              <w:pStyle w:val="Pa12"/>
              <w:spacing w:line="360" w:lineRule="auto"/>
              <w:rPr>
                <w:rStyle w:val="A4"/>
                <w:bCs/>
              </w:rPr>
            </w:pP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  <w:r w:rsidRPr="006A2A70">
              <w:rPr>
                <w:rStyle w:val="A4"/>
                <w:bCs/>
              </w:rPr>
              <w:br/>
            </w:r>
          </w:p>
          <w:p w14:paraId="14DC37E4" w14:textId="77777777" w:rsidR="007D1A4D" w:rsidRPr="006A2A70" w:rsidRDefault="007D1A4D" w:rsidP="006439C3">
            <w:pPr>
              <w:pStyle w:val="Default"/>
              <w:spacing w:line="360" w:lineRule="auto"/>
              <w:rPr>
                <w:rStyle w:val="A4"/>
                <w:bCs/>
              </w:rPr>
            </w:pPr>
          </w:p>
          <w:p w14:paraId="5F58D34F" w14:textId="77777777" w:rsidR="007D1A4D" w:rsidRPr="006A2A70" w:rsidRDefault="007D1A4D" w:rsidP="006439C3">
            <w:pPr>
              <w:pStyle w:val="Default"/>
              <w:spacing w:line="360" w:lineRule="auto"/>
              <w:rPr>
                <w:sz w:val="22"/>
                <w:szCs w:val="22"/>
                <w:lang w:val="en-US" w:eastAsia="en-GB"/>
              </w:rPr>
            </w:pP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  <w:r w:rsidRPr="006A2A70">
              <w:rPr>
                <w:sz w:val="22"/>
                <w:szCs w:val="22"/>
                <w:lang w:val="en-US" w:eastAsia="en-GB"/>
              </w:rPr>
              <w:br/>
            </w:r>
          </w:p>
        </w:tc>
      </w:tr>
      <w:bookmarkEnd w:id="0"/>
    </w:tbl>
    <w:p w14:paraId="1A269BB2" w14:textId="77777777" w:rsidR="004A78DD" w:rsidRPr="00103CBB" w:rsidRDefault="004A78DD" w:rsidP="00103CBB"/>
    <w:sectPr w:rsidR="004A78DD" w:rsidRPr="00103CBB" w:rsidSect="00342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6A66"/>
    <w:multiLevelType w:val="hybridMultilevel"/>
    <w:tmpl w:val="41F0E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16FF3"/>
    <w:multiLevelType w:val="hybridMultilevel"/>
    <w:tmpl w:val="F8486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23AEF"/>
    <w:multiLevelType w:val="hybridMultilevel"/>
    <w:tmpl w:val="6B367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22068">
    <w:abstractNumId w:val="1"/>
  </w:num>
  <w:num w:numId="2" w16cid:durableId="2127236791">
    <w:abstractNumId w:val="0"/>
  </w:num>
  <w:num w:numId="3" w16cid:durableId="65943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928D2"/>
    <w:rsid w:val="00103CBB"/>
    <w:rsid w:val="0013182C"/>
    <w:rsid w:val="001564A4"/>
    <w:rsid w:val="001B385D"/>
    <w:rsid w:val="001D454C"/>
    <w:rsid w:val="001E4906"/>
    <w:rsid w:val="00227520"/>
    <w:rsid w:val="00275A86"/>
    <w:rsid w:val="002D3233"/>
    <w:rsid w:val="002D7440"/>
    <w:rsid w:val="00307B43"/>
    <w:rsid w:val="003428E6"/>
    <w:rsid w:val="00346918"/>
    <w:rsid w:val="004A78DD"/>
    <w:rsid w:val="004C4C05"/>
    <w:rsid w:val="004E2CFA"/>
    <w:rsid w:val="0051574E"/>
    <w:rsid w:val="005D3DCC"/>
    <w:rsid w:val="005E5D89"/>
    <w:rsid w:val="005E6C31"/>
    <w:rsid w:val="005F13E4"/>
    <w:rsid w:val="00642DCF"/>
    <w:rsid w:val="006439C3"/>
    <w:rsid w:val="00660AB2"/>
    <w:rsid w:val="00670C62"/>
    <w:rsid w:val="006A2A70"/>
    <w:rsid w:val="0072647E"/>
    <w:rsid w:val="00743B2E"/>
    <w:rsid w:val="0075008C"/>
    <w:rsid w:val="007B5DE6"/>
    <w:rsid w:val="007D1A4D"/>
    <w:rsid w:val="00802653"/>
    <w:rsid w:val="008138E0"/>
    <w:rsid w:val="00846418"/>
    <w:rsid w:val="00855D16"/>
    <w:rsid w:val="008803FA"/>
    <w:rsid w:val="00893F60"/>
    <w:rsid w:val="00896F51"/>
    <w:rsid w:val="008A1D4C"/>
    <w:rsid w:val="008B12E5"/>
    <w:rsid w:val="008F5435"/>
    <w:rsid w:val="009079BB"/>
    <w:rsid w:val="00950993"/>
    <w:rsid w:val="00971B94"/>
    <w:rsid w:val="009976A3"/>
    <w:rsid w:val="009F5FD8"/>
    <w:rsid w:val="00AE0A6C"/>
    <w:rsid w:val="00B12E32"/>
    <w:rsid w:val="00BC6A91"/>
    <w:rsid w:val="00BF1FE1"/>
    <w:rsid w:val="00BF6F05"/>
    <w:rsid w:val="00C36F0C"/>
    <w:rsid w:val="00C9282A"/>
    <w:rsid w:val="00E0700F"/>
    <w:rsid w:val="00E14A7C"/>
    <w:rsid w:val="00EB3D5C"/>
    <w:rsid w:val="00EC63FB"/>
    <w:rsid w:val="00F06951"/>
    <w:rsid w:val="00F204A1"/>
    <w:rsid w:val="00F92BCA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next w:val="Normal"/>
    <w:link w:val="Heading1Char"/>
    <w:uiPriority w:val="9"/>
    <w:unhideWhenUsed/>
    <w:qFormat/>
    <w:rsid w:val="00103CBB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szCs w:val="22"/>
      <w:lang w:val="en-AU" w:eastAsia="en-AU"/>
    </w:rPr>
  </w:style>
  <w:style w:type="paragraph" w:styleId="Heading2">
    <w:name w:val="heading 2"/>
    <w:next w:val="Normal"/>
    <w:link w:val="Heading2Char"/>
    <w:uiPriority w:val="9"/>
    <w:unhideWhenUsed/>
    <w:qFormat/>
    <w:rsid w:val="00103CBB"/>
    <w:pPr>
      <w:keepNext/>
      <w:keepLines/>
      <w:spacing w:after="39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2"/>
      <w:szCs w:val="22"/>
      <w:u w:val="single" w:color="00000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7D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D4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D4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03CBB"/>
    <w:rPr>
      <w:rFonts w:ascii="Times New Roman" w:eastAsia="Times New Roman" w:hAnsi="Times New Roman" w:cs="Times New Roman"/>
      <w:b/>
      <w:color w:val="000000"/>
      <w:sz w:val="32"/>
      <w:szCs w:val="2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03CBB"/>
    <w:rPr>
      <w:rFonts w:ascii="Times New Roman" w:eastAsia="Times New Roman" w:hAnsi="Times New Roman" w:cs="Times New Roman"/>
      <w:color w:val="000000"/>
      <w:sz w:val="22"/>
      <w:szCs w:val="22"/>
      <w:u w:val="single" w:color="00000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103C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C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3784F532-96D5-48C2-831D-3895C85B9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Bianca Iacopetta</cp:lastModifiedBy>
  <cp:revision>3</cp:revision>
  <dcterms:created xsi:type="dcterms:W3CDTF">2023-10-19T03:50:00Z</dcterms:created>
  <dcterms:modified xsi:type="dcterms:W3CDTF">2023-10-19T04:04:00Z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