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3"/>
      </w:tblGrid>
      <w:tr w:rsidR="001564A4" w:rsidRPr="0050053A" w14:paraId="5C38377B" w14:textId="77777777" w:rsidTr="009511E2">
        <w:trPr>
          <w:trHeight w:val="658"/>
          <w:jc w:val="center"/>
        </w:trPr>
        <w:tc>
          <w:tcPr>
            <w:tcW w:w="8843" w:type="dxa"/>
            <w:shd w:val="clear" w:color="auto" w:fill="auto"/>
          </w:tcPr>
          <w:p w14:paraId="5C44F357" w14:textId="103DCDA2" w:rsidR="001564A4" w:rsidRPr="0050053A" w:rsidRDefault="00301956" w:rsidP="000A28E2">
            <w:pPr>
              <w:spacing w:before="120" w:after="120"/>
              <w:rPr>
                <w:rFonts w:ascii="Arial" w:hAnsi="Arial" w:cs="Arial"/>
                <w:b/>
                <w:sz w:val="22"/>
                <w:szCs w:val="22"/>
                <w:lang w:val="en-US" w:eastAsia="zh-CN"/>
              </w:rPr>
            </w:pPr>
            <w:r>
              <w:rPr>
                <w:rFonts w:ascii="Arial" w:hAnsi="Arial" w:cs="Arial"/>
                <w:b/>
                <w:sz w:val="22"/>
                <w:szCs w:val="22"/>
                <w:lang w:val="en-US" w:eastAsia="en-GB"/>
              </w:rPr>
              <w:t>Using wearables to characteri</w:t>
            </w:r>
            <w:r w:rsidR="007E5D51">
              <w:rPr>
                <w:rFonts w:ascii="Arial" w:hAnsi="Arial" w:cs="Arial"/>
                <w:b/>
                <w:sz w:val="22"/>
                <w:szCs w:val="22"/>
                <w:lang w:val="en-US" w:eastAsia="en-GB"/>
              </w:rPr>
              <w:t>s</w:t>
            </w:r>
            <w:r>
              <w:rPr>
                <w:rFonts w:ascii="Arial" w:hAnsi="Arial" w:cs="Arial"/>
                <w:b/>
                <w:sz w:val="22"/>
                <w:szCs w:val="22"/>
                <w:lang w:val="en-US" w:eastAsia="en-GB"/>
              </w:rPr>
              <w:t>e pulmonary exacerbation in cystic fibrosis</w:t>
            </w:r>
          </w:p>
        </w:tc>
      </w:tr>
      <w:tr w:rsidR="00301956" w:rsidRPr="0050053A" w14:paraId="0E2E035C" w14:textId="77777777" w:rsidTr="009511E2">
        <w:trPr>
          <w:trHeight w:val="658"/>
          <w:jc w:val="center"/>
        </w:trPr>
        <w:tc>
          <w:tcPr>
            <w:tcW w:w="8843" w:type="dxa"/>
            <w:shd w:val="clear" w:color="auto" w:fill="auto"/>
          </w:tcPr>
          <w:p w14:paraId="73B55295" w14:textId="37883BDA" w:rsidR="00301956" w:rsidRPr="00413B94" w:rsidRDefault="00301956" w:rsidP="00301956">
            <w:pPr>
              <w:spacing w:before="120" w:after="120"/>
              <w:rPr>
                <w:rFonts w:ascii="Arial" w:hAnsi="Arial" w:cs="Arial"/>
                <w:sz w:val="22"/>
                <w:szCs w:val="22"/>
                <w:u w:val="single"/>
                <w:lang w:eastAsia="zh-CN"/>
              </w:rPr>
            </w:pPr>
            <w:r w:rsidRPr="00EC0526">
              <w:rPr>
                <w:rFonts w:ascii="Arial" w:hAnsi="Arial" w:cs="Arial"/>
                <w:sz w:val="22"/>
                <w:szCs w:val="22"/>
                <w:lang w:val="en-US" w:eastAsia="en-GB"/>
              </w:rPr>
              <w:t>Graeme Mattison</w:t>
            </w:r>
            <w:r w:rsidRPr="00EC0526">
              <w:rPr>
                <w:rFonts w:ascii="Arial" w:hAnsi="Arial" w:cs="Arial"/>
                <w:sz w:val="22"/>
                <w:szCs w:val="22"/>
                <w:vertAlign w:val="superscript"/>
                <w:lang w:val="en-US" w:eastAsia="en-GB"/>
              </w:rPr>
              <w:t>1,</w:t>
            </w:r>
            <w:proofErr w:type="gramStart"/>
            <w:r w:rsidRPr="00EC0526">
              <w:rPr>
                <w:rFonts w:ascii="Arial" w:hAnsi="Arial" w:cs="Arial"/>
                <w:sz w:val="22"/>
                <w:szCs w:val="22"/>
                <w:vertAlign w:val="superscript"/>
                <w:lang w:val="en-US" w:eastAsia="en-GB"/>
              </w:rPr>
              <w:t>2</w:t>
            </w:r>
            <w:r w:rsidRPr="00EC0526">
              <w:rPr>
                <w:rFonts w:ascii="Arial" w:hAnsi="Arial" w:cs="Arial"/>
                <w:sz w:val="22"/>
                <w:szCs w:val="22"/>
                <w:lang w:val="en-US" w:eastAsia="en-GB"/>
              </w:rPr>
              <w:t>,Doug</w:t>
            </w:r>
            <w:proofErr w:type="gramEnd"/>
            <w:r w:rsidRPr="00EC0526">
              <w:rPr>
                <w:rFonts w:ascii="Arial" w:hAnsi="Arial" w:cs="Arial"/>
                <w:sz w:val="22"/>
                <w:szCs w:val="22"/>
                <w:lang w:val="en-US" w:eastAsia="en-GB"/>
              </w:rPr>
              <w:t xml:space="preserve"> Forrester</w:t>
            </w:r>
            <w:r w:rsidRPr="00EC0526">
              <w:rPr>
                <w:rFonts w:ascii="Arial" w:hAnsi="Arial" w:cs="Arial"/>
                <w:sz w:val="22"/>
                <w:szCs w:val="22"/>
                <w:vertAlign w:val="superscript"/>
                <w:lang w:val="en-US" w:eastAsia="en-GB"/>
              </w:rPr>
              <w:t>3,4</w:t>
            </w:r>
            <w:r w:rsidRPr="00EC0526">
              <w:rPr>
                <w:rFonts w:ascii="Arial" w:hAnsi="Arial" w:cs="Arial"/>
                <w:sz w:val="22"/>
                <w:szCs w:val="22"/>
                <w:lang w:val="en-US" w:eastAsia="en-GB"/>
              </w:rPr>
              <w:t>,Daniel Smith</w:t>
            </w:r>
            <w:r w:rsidRPr="00EC0526">
              <w:rPr>
                <w:rFonts w:ascii="Arial" w:hAnsi="Arial" w:cs="Arial"/>
                <w:sz w:val="22"/>
                <w:szCs w:val="22"/>
                <w:vertAlign w:val="superscript"/>
                <w:lang w:val="en-US" w:eastAsia="en-GB"/>
              </w:rPr>
              <w:t>1,2</w:t>
            </w:r>
            <w:r w:rsidRPr="00EC0526">
              <w:rPr>
                <w:rFonts w:ascii="Arial" w:hAnsi="Arial" w:cs="Arial"/>
                <w:sz w:val="22"/>
                <w:szCs w:val="22"/>
                <w:lang w:val="en-US" w:eastAsia="en-GB"/>
              </w:rPr>
              <w:t>,David Reid</w:t>
            </w:r>
            <w:r w:rsidRPr="00EC0526">
              <w:rPr>
                <w:rFonts w:ascii="Arial" w:hAnsi="Arial" w:cs="Arial"/>
                <w:sz w:val="22"/>
                <w:szCs w:val="22"/>
                <w:vertAlign w:val="superscript"/>
                <w:lang w:val="en-US" w:eastAsia="en-GB"/>
              </w:rPr>
              <w:t>1,2</w:t>
            </w:r>
            <w:r w:rsidRPr="00EC0526">
              <w:rPr>
                <w:rFonts w:ascii="Arial" w:hAnsi="Arial" w:cs="Arial"/>
                <w:sz w:val="22"/>
                <w:szCs w:val="22"/>
                <w:lang w:val="en-US" w:eastAsia="en-GB"/>
              </w:rPr>
              <w:t>,Chelsea Dobbins</w:t>
            </w:r>
            <w:r w:rsidRPr="00EC0526">
              <w:rPr>
                <w:rFonts w:ascii="Arial" w:hAnsi="Arial" w:cs="Arial"/>
                <w:sz w:val="22"/>
                <w:szCs w:val="22"/>
                <w:vertAlign w:val="superscript"/>
                <w:lang w:val="en-US" w:eastAsia="en-GB"/>
              </w:rPr>
              <w:t>5</w:t>
            </w:r>
          </w:p>
        </w:tc>
      </w:tr>
      <w:tr w:rsidR="00301956" w:rsidRPr="0050053A" w14:paraId="385A19D9" w14:textId="77777777" w:rsidTr="009511E2">
        <w:trPr>
          <w:trHeight w:val="178"/>
          <w:jc w:val="center"/>
        </w:trPr>
        <w:tc>
          <w:tcPr>
            <w:tcW w:w="8843" w:type="dxa"/>
            <w:shd w:val="clear" w:color="auto" w:fill="auto"/>
          </w:tcPr>
          <w:p w14:paraId="68EF60B5" w14:textId="77777777" w:rsidR="00301956" w:rsidRPr="00EC0526" w:rsidRDefault="00301956" w:rsidP="00301956">
            <w:pPr>
              <w:spacing w:before="120" w:after="120"/>
              <w:rPr>
                <w:rFonts w:ascii="Arial" w:hAnsi="Arial" w:cs="Arial"/>
                <w:i/>
                <w:sz w:val="22"/>
                <w:szCs w:val="22"/>
                <w:lang w:val="en-US" w:eastAsia="en-GB"/>
              </w:rPr>
            </w:pPr>
            <w:r w:rsidRPr="00EC0526">
              <w:rPr>
                <w:rFonts w:ascii="Arial" w:hAnsi="Arial" w:cs="Arial"/>
                <w:i/>
                <w:sz w:val="22"/>
                <w:szCs w:val="22"/>
                <w:vertAlign w:val="superscript"/>
                <w:lang w:val="en-US" w:eastAsia="en-GB"/>
              </w:rPr>
              <w:t>1</w:t>
            </w:r>
            <w:r w:rsidRPr="00EC0526">
              <w:rPr>
                <w:rFonts w:ascii="Arial" w:hAnsi="Arial" w:cs="Arial"/>
                <w:i/>
                <w:sz w:val="22"/>
                <w:szCs w:val="22"/>
                <w:lang w:val="en-US" w:eastAsia="en-GB"/>
              </w:rPr>
              <w:t>Department of Thoracic Medicine, Prince Charles Hospital, Brisbane, Queensland</w:t>
            </w:r>
          </w:p>
          <w:p w14:paraId="425DEEDF" w14:textId="77777777" w:rsidR="00301956" w:rsidRPr="00EC0526" w:rsidRDefault="00301956" w:rsidP="00301956">
            <w:pPr>
              <w:spacing w:before="120" w:after="120"/>
              <w:rPr>
                <w:rFonts w:ascii="Arial" w:hAnsi="Arial" w:cs="Arial"/>
                <w:i/>
                <w:sz w:val="22"/>
                <w:szCs w:val="22"/>
                <w:lang w:val="en-US" w:eastAsia="en-GB"/>
              </w:rPr>
            </w:pPr>
            <w:r w:rsidRPr="00EC0526">
              <w:rPr>
                <w:rFonts w:ascii="Arial" w:hAnsi="Arial" w:cs="Arial"/>
                <w:i/>
                <w:sz w:val="22"/>
                <w:szCs w:val="22"/>
                <w:vertAlign w:val="superscript"/>
                <w:lang w:val="en-US" w:eastAsia="en-GB"/>
              </w:rPr>
              <w:t>2</w:t>
            </w:r>
            <w:r w:rsidRPr="00EC0526">
              <w:rPr>
                <w:rFonts w:ascii="Arial" w:hAnsi="Arial" w:cs="Arial"/>
                <w:i/>
                <w:sz w:val="22"/>
                <w:szCs w:val="22"/>
                <w:lang w:val="en-US" w:eastAsia="en-GB"/>
              </w:rPr>
              <w:t>Faculty of Medicine, The University of Queensland, St Lucia, Brisbane, Queensland</w:t>
            </w:r>
          </w:p>
          <w:p w14:paraId="28A1C92A" w14:textId="77777777" w:rsidR="00301956" w:rsidRPr="00EC0526" w:rsidRDefault="00301956" w:rsidP="00301956">
            <w:pPr>
              <w:spacing w:before="120" w:after="120"/>
              <w:rPr>
                <w:rFonts w:ascii="Arial" w:hAnsi="Arial" w:cs="Arial"/>
                <w:i/>
                <w:sz w:val="22"/>
                <w:szCs w:val="22"/>
                <w:lang w:val="en-US" w:eastAsia="en-GB"/>
              </w:rPr>
            </w:pPr>
            <w:r w:rsidRPr="00EC0526">
              <w:rPr>
                <w:rFonts w:ascii="Arial" w:hAnsi="Arial" w:cs="Arial"/>
                <w:i/>
                <w:sz w:val="22"/>
                <w:szCs w:val="22"/>
                <w:vertAlign w:val="superscript"/>
                <w:lang w:val="en-US" w:eastAsia="en-GB"/>
              </w:rPr>
              <w:t>3</w:t>
            </w:r>
            <w:r w:rsidRPr="00EC0526">
              <w:rPr>
                <w:rFonts w:ascii="Arial" w:hAnsi="Arial" w:cs="Arial"/>
                <w:i/>
                <w:sz w:val="22"/>
                <w:szCs w:val="22"/>
                <w:lang w:val="en-US" w:eastAsia="en-GB"/>
              </w:rPr>
              <w:t>Department of Thoracic Medicine, Sir Charles Gairdner Hospital, Perth, Western Australia</w:t>
            </w:r>
          </w:p>
          <w:p w14:paraId="61AF162A" w14:textId="77777777" w:rsidR="00301956" w:rsidRPr="00EC0526" w:rsidRDefault="00301956" w:rsidP="00301956">
            <w:pPr>
              <w:spacing w:before="120" w:after="120"/>
              <w:rPr>
                <w:rFonts w:ascii="Arial" w:hAnsi="Arial" w:cs="Arial"/>
                <w:i/>
                <w:sz w:val="22"/>
                <w:szCs w:val="22"/>
                <w:lang w:val="en-US" w:eastAsia="en-GB"/>
              </w:rPr>
            </w:pPr>
            <w:r w:rsidRPr="00EC0526">
              <w:rPr>
                <w:rFonts w:ascii="Arial" w:hAnsi="Arial" w:cs="Arial"/>
                <w:i/>
                <w:sz w:val="22"/>
                <w:szCs w:val="22"/>
                <w:vertAlign w:val="superscript"/>
                <w:lang w:val="en-US" w:eastAsia="en-GB"/>
              </w:rPr>
              <w:t>4</w:t>
            </w:r>
            <w:r w:rsidRPr="00EC0526">
              <w:rPr>
                <w:rFonts w:ascii="Arial" w:hAnsi="Arial" w:cs="Arial"/>
                <w:i/>
                <w:sz w:val="22"/>
                <w:szCs w:val="22"/>
                <w:lang w:val="en-US" w:eastAsia="en-GB"/>
              </w:rPr>
              <w:t>Faculty of Medicine, Curtin University, Western Australia</w:t>
            </w:r>
          </w:p>
          <w:p w14:paraId="45ED36BF" w14:textId="14F23528" w:rsidR="00301956" w:rsidRPr="0050053A" w:rsidRDefault="00301956" w:rsidP="00301956">
            <w:pPr>
              <w:spacing w:before="120" w:after="120"/>
              <w:rPr>
                <w:rFonts w:ascii="Arial" w:hAnsi="Arial" w:cs="Arial"/>
                <w:i/>
                <w:sz w:val="22"/>
                <w:szCs w:val="22"/>
                <w:lang w:val="en-US" w:eastAsia="en-GB"/>
              </w:rPr>
            </w:pPr>
            <w:r w:rsidRPr="00EC0526">
              <w:rPr>
                <w:rFonts w:ascii="Arial" w:hAnsi="Arial" w:cs="Arial"/>
                <w:i/>
                <w:sz w:val="22"/>
                <w:szCs w:val="22"/>
                <w:vertAlign w:val="superscript"/>
                <w:lang w:val="en-US" w:eastAsia="en-GB"/>
              </w:rPr>
              <w:t>5</w:t>
            </w:r>
            <w:r w:rsidRPr="00EC0526">
              <w:rPr>
                <w:rFonts w:ascii="Arial" w:hAnsi="Arial" w:cs="Arial"/>
                <w:i/>
                <w:sz w:val="22"/>
                <w:szCs w:val="22"/>
                <w:lang w:val="en-US" w:eastAsia="en-GB"/>
              </w:rPr>
              <w:t>School of Electrical Engineering</w:t>
            </w:r>
            <w:r>
              <w:rPr>
                <w:rFonts w:ascii="Arial" w:hAnsi="Arial" w:cs="Arial"/>
                <w:i/>
                <w:sz w:val="22"/>
                <w:szCs w:val="22"/>
                <w:lang w:val="en-US" w:eastAsia="en-GB"/>
              </w:rPr>
              <w:t xml:space="preserve"> and Computer Science</w:t>
            </w:r>
            <w:r w:rsidRPr="00EC0526">
              <w:rPr>
                <w:rFonts w:ascii="Arial" w:hAnsi="Arial" w:cs="Arial"/>
                <w:i/>
                <w:sz w:val="22"/>
                <w:szCs w:val="22"/>
                <w:lang w:val="en-US" w:eastAsia="en-GB"/>
              </w:rPr>
              <w:t>, The University of Queensland, St Lucia, Brisbane, Queensland</w:t>
            </w:r>
          </w:p>
        </w:tc>
      </w:tr>
      <w:tr w:rsidR="001564A4" w:rsidRPr="0050053A" w14:paraId="6DAF615A" w14:textId="77777777" w:rsidTr="009511E2">
        <w:trPr>
          <w:trHeight w:hRule="exact" w:val="9818"/>
          <w:jc w:val="center"/>
        </w:trPr>
        <w:tc>
          <w:tcPr>
            <w:tcW w:w="8843"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3D770CF7" w14:textId="3B656B44" w:rsidR="001564A4" w:rsidRPr="00667AE2" w:rsidRDefault="00D17852" w:rsidP="00667AE2">
            <w:pPr>
              <w:pStyle w:val="Pa12"/>
              <w:rPr>
                <w:rStyle w:val="A4"/>
                <w:color w:val="auto"/>
                <w:lang w:val="en-GB" w:eastAsia="en-AU"/>
              </w:rPr>
            </w:pPr>
            <w:r w:rsidRPr="00D17852">
              <w:rPr>
                <w:sz w:val="22"/>
                <w:szCs w:val="22"/>
                <w:lang w:val="en-GB" w:eastAsia="en-AU"/>
              </w:rPr>
              <w:t>Diagnosing pulmonary exacerbations in cystic fibrosis (CF) is c</w:t>
            </w:r>
            <w:r w:rsidR="00032598">
              <w:rPr>
                <w:sz w:val="22"/>
                <w:szCs w:val="22"/>
                <w:lang w:val="en-GB" w:eastAsia="en-AU"/>
              </w:rPr>
              <w:t>hallenged</w:t>
            </w:r>
            <w:r w:rsidRPr="00D17852">
              <w:rPr>
                <w:sz w:val="22"/>
                <w:szCs w:val="22"/>
                <w:lang w:val="en-GB" w:eastAsia="en-AU"/>
              </w:rPr>
              <w:t xml:space="preserve"> by heterogeneity in clinical presentations a</w:t>
            </w:r>
            <w:r w:rsidR="00C96460">
              <w:rPr>
                <w:sz w:val="22"/>
                <w:szCs w:val="22"/>
                <w:lang w:val="en-GB" w:eastAsia="en-AU"/>
              </w:rPr>
              <w:t>longside</w:t>
            </w:r>
            <w:r w:rsidRPr="00D17852">
              <w:rPr>
                <w:sz w:val="22"/>
                <w:szCs w:val="22"/>
                <w:lang w:val="en-GB" w:eastAsia="en-AU"/>
              </w:rPr>
              <w:t xml:space="preserve"> a lack of universally accepted diagnostic criteria. </w:t>
            </w:r>
            <w:r w:rsidR="00E4180A" w:rsidRPr="00D17852">
              <w:rPr>
                <w:sz w:val="22"/>
                <w:szCs w:val="22"/>
                <w:lang w:val="en-GB" w:eastAsia="en-AU"/>
              </w:rPr>
              <w:t xml:space="preserve">Prompt recognition </w:t>
            </w:r>
            <w:r w:rsidR="000B771B">
              <w:rPr>
                <w:sz w:val="22"/>
                <w:szCs w:val="22"/>
                <w:lang w:val="en-GB" w:eastAsia="en-AU"/>
              </w:rPr>
              <w:t>enables</w:t>
            </w:r>
            <w:r w:rsidR="00E4180A" w:rsidRPr="00D17852">
              <w:rPr>
                <w:sz w:val="22"/>
                <w:szCs w:val="22"/>
                <w:lang w:val="en-GB" w:eastAsia="en-AU"/>
              </w:rPr>
              <w:t xml:space="preserve"> early treatment, </w:t>
            </w:r>
            <w:r w:rsidR="000B771B">
              <w:rPr>
                <w:sz w:val="22"/>
                <w:szCs w:val="22"/>
                <w:lang w:val="en-GB" w:eastAsia="en-AU"/>
              </w:rPr>
              <w:t>lowering</w:t>
            </w:r>
            <w:r w:rsidR="00E4180A" w:rsidRPr="00D17852">
              <w:rPr>
                <w:sz w:val="22"/>
                <w:szCs w:val="22"/>
                <w:lang w:val="en-GB" w:eastAsia="en-AU"/>
              </w:rPr>
              <w:t xml:space="preserve"> the risk of irreversible loss of lung function. Wearables are ubiquitous in society and facilitate </w:t>
            </w:r>
            <w:r w:rsidR="000B771B">
              <w:rPr>
                <w:sz w:val="22"/>
                <w:szCs w:val="22"/>
                <w:lang w:val="en-GB" w:eastAsia="en-AU"/>
              </w:rPr>
              <w:t xml:space="preserve">real-time </w:t>
            </w:r>
            <w:r w:rsidR="00E4180A" w:rsidRPr="00D17852">
              <w:rPr>
                <w:sz w:val="22"/>
                <w:szCs w:val="22"/>
                <w:lang w:val="en-GB" w:eastAsia="en-AU"/>
              </w:rPr>
              <w:t xml:space="preserve">measurement of health parameters. The role of wearables in </w:t>
            </w:r>
            <w:r w:rsidRPr="00D17852">
              <w:rPr>
                <w:sz w:val="22"/>
                <w:szCs w:val="22"/>
                <w:lang w:val="en-GB" w:eastAsia="en-AU"/>
              </w:rPr>
              <w:t>characterising</w:t>
            </w:r>
            <w:r w:rsidR="00E4180A" w:rsidRPr="00D17852">
              <w:rPr>
                <w:sz w:val="22"/>
                <w:szCs w:val="22"/>
                <w:lang w:val="en-GB" w:eastAsia="en-AU"/>
              </w:rPr>
              <w:t xml:space="preserve"> changes in these parameters during pulmonary exacerbations is unknown.</w:t>
            </w:r>
            <w:r w:rsidR="00667AE2">
              <w:rPr>
                <w:sz w:val="22"/>
                <w:szCs w:val="22"/>
                <w:lang w:val="en-GB" w:eastAsia="en-AU"/>
              </w:rPr>
              <w:t xml:space="preserve"> </w:t>
            </w:r>
            <w:r w:rsidR="00E4180A" w:rsidRPr="00D17852">
              <w:rPr>
                <w:sz w:val="22"/>
                <w:szCs w:val="22"/>
                <w:lang w:val="en-GB" w:eastAsia="en-AU"/>
              </w:rPr>
              <w:t xml:space="preserve">Our study </w:t>
            </w:r>
            <w:r w:rsidRPr="00D17852">
              <w:rPr>
                <w:sz w:val="22"/>
                <w:szCs w:val="22"/>
                <w:lang w:val="en-GB" w:eastAsia="en-AU"/>
              </w:rPr>
              <w:t>hypothesis</w:t>
            </w:r>
            <w:r w:rsidR="00C96460">
              <w:rPr>
                <w:sz w:val="22"/>
                <w:szCs w:val="22"/>
                <w:lang w:val="en-GB" w:eastAsia="en-AU"/>
              </w:rPr>
              <w:t>es</w:t>
            </w:r>
            <w:r w:rsidRPr="00D17852">
              <w:rPr>
                <w:sz w:val="22"/>
                <w:szCs w:val="22"/>
                <w:lang w:val="en-GB" w:eastAsia="en-AU"/>
              </w:rPr>
              <w:t xml:space="preserve"> that a commercially available wearable can identify a composite predictor of pulmonary exacerbation.</w:t>
            </w: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5029BAE6" w14:textId="19CADB7B" w:rsidR="001564A4" w:rsidRPr="00D17852" w:rsidRDefault="000E3D25" w:rsidP="000A28E2">
            <w:pPr>
              <w:pStyle w:val="Pa12"/>
              <w:rPr>
                <w:rStyle w:val="A4"/>
                <w:color w:val="auto"/>
              </w:rPr>
            </w:pPr>
            <w:r>
              <w:rPr>
                <w:sz w:val="22"/>
                <w:szCs w:val="22"/>
              </w:rPr>
              <w:t>Forty individuals with CF</w:t>
            </w:r>
            <w:r w:rsidR="00D17852">
              <w:rPr>
                <w:sz w:val="22"/>
                <w:szCs w:val="22"/>
              </w:rPr>
              <w:t xml:space="preserve"> were provided with a Garmin </w:t>
            </w:r>
            <w:proofErr w:type="spellStart"/>
            <w:r w:rsidR="00D17852">
              <w:rPr>
                <w:i/>
                <w:iCs/>
                <w:sz w:val="22"/>
                <w:szCs w:val="22"/>
              </w:rPr>
              <w:t>Vivosmart</w:t>
            </w:r>
            <w:proofErr w:type="spellEnd"/>
            <w:r w:rsidR="00D17852">
              <w:rPr>
                <w:i/>
                <w:iCs/>
                <w:sz w:val="22"/>
                <w:szCs w:val="22"/>
              </w:rPr>
              <w:t xml:space="preserve"> 4</w:t>
            </w:r>
            <w:r w:rsidR="00D17852">
              <w:rPr>
                <w:sz w:val="22"/>
                <w:szCs w:val="22"/>
              </w:rPr>
              <w:t xml:space="preserve"> activity tracker for twelve months. Pulmonary exacerbations were recorded</w:t>
            </w:r>
            <w:r w:rsidR="000B771B">
              <w:rPr>
                <w:sz w:val="22"/>
                <w:szCs w:val="22"/>
              </w:rPr>
              <w:t xml:space="preserve"> and </w:t>
            </w:r>
            <w:r w:rsidR="00D17852">
              <w:rPr>
                <w:sz w:val="22"/>
                <w:szCs w:val="22"/>
              </w:rPr>
              <w:t>defined as: “</w:t>
            </w:r>
            <w:r w:rsidR="00D17852">
              <w:rPr>
                <w:i/>
                <w:iCs/>
                <w:sz w:val="22"/>
                <w:szCs w:val="22"/>
              </w:rPr>
              <w:t>Physician diagnosed exacerbation and/or self-commencement of antibiotics by an individual in agreement with a shared management plan with a specialist”</w:t>
            </w:r>
            <w:r w:rsidR="00D17852">
              <w:rPr>
                <w:sz w:val="22"/>
                <w:szCs w:val="22"/>
              </w:rPr>
              <w:t xml:space="preserve">. </w:t>
            </w:r>
            <w:r w:rsidR="00D17852" w:rsidRPr="00EC0526">
              <w:rPr>
                <w:sz w:val="22"/>
                <w:szCs w:val="22"/>
              </w:rPr>
              <w:t xml:space="preserve">Garmin measures included step count, heart rate, perceived measures of stress and fatigue and sleep characteristics. </w:t>
            </w:r>
            <w:r w:rsidR="00032598">
              <w:rPr>
                <w:sz w:val="22"/>
                <w:szCs w:val="22"/>
              </w:rPr>
              <w:t>H</w:t>
            </w:r>
            <w:r w:rsidR="00D17852" w:rsidRPr="00EC0526">
              <w:rPr>
                <w:sz w:val="22"/>
                <w:szCs w:val="22"/>
              </w:rPr>
              <w:t xml:space="preserve">eart rate variability measures were </w:t>
            </w:r>
            <w:r w:rsidR="00032598">
              <w:rPr>
                <w:sz w:val="22"/>
                <w:szCs w:val="22"/>
              </w:rPr>
              <w:t>pre-processed from beat-to-beat interval data</w:t>
            </w:r>
            <w:r w:rsidR="00D17852" w:rsidRPr="00EC0526">
              <w:rPr>
                <w:sz w:val="22"/>
                <w:szCs w:val="22"/>
              </w:rPr>
              <w:t xml:space="preserve"> using a validated algorithm</w:t>
            </w:r>
            <w:r w:rsidR="00D17852">
              <w:rPr>
                <w:sz w:val="22"/>
                <w:szCs w:val="22"/>
              </w:rPr>
              <w:t xml:space="preserve"> for novel beat classification</w:t>
            </w:r>
            <w:r w:rsidR="00D17852" w:rsidRPr="00EC0526">
              <w:rPr>
                <w:sz w:val="22"/>
                <w:szCs w:val="22"/>
              </w:rPr>
              <w:t xml:space="preserve">. Exploratory analyses </w:t>
            </w:r>
            <w:r w:rsidR="00C96460">
              <w:rPr>
                <w:sz w:val="22"/>
                <w:szCs w:val="22"/>
              </w:rPr>
              <w:t>via</w:t>
            </w:r>
            <w:r w:rsidR="00D17852" w:rsidRPr="00EC0526">
              <w:rPr>
                <w:sz w:val="22"/>
                <w:szCs w:val="22"/>
              </w:rPr>
              <w:t xml:space="preserve"> graphical and summary statistics will be </w:t>
            </w:r>
            <w:r w:rsidR="00667AE2">
              <w:rPr>
                <w:sz w:val="22"/>
                <w:szCs w:val="22"/>
              </w:rPr>
              <w:t>performed</w:t>
            </w:r>
            <w:r w:rsidR="00D17852" w:rsidRPr="00EC0526">
              <w:rPr>
                <w:sz w:val="22"/>
                <w:szCs w:val="22"/>
              </w:rPr>
              <w:t xml:space="preserve"> along with longitudinal modelling of daily Garmin measures to assess their relationship with defined pre/during/post-exacerbation and wellness periods.</w:t>
            </w:r>
          </w:p>
          <w:p w14:paraId="6BF3F094" w14:textId="77777777" w:rsidR="001564A4" w:rsidRPr="0050053A" w:rsidRDefault="001564A4" w:rsidP="000A28E2">
            <w:pPr>
              <w:pStyle w:val="Pa12"/>
              <w:rPr>
                <w:rStyle w:val="A4"/>
                <w:b/>
                <w:bCs/>
              </w:rPr>
            </w:pPr>
            <w:r w:rsidRPr="0050053A">
              <w:rPr>
                <w:rStyle w:val="A4"/>
                <w:b/>
                <w:bCs/>
              </w:rPr>
              <w:t xml:space="preserve">Results: </w:t>
            </w:r>
          </w:p>
          <w:p w14:paraId="68537800" w14:textId="7FAA17F1" w:rsidR="001564A4" w:rsidRPr="00032598" w:rsidRDefault="00032598" w:rsidP="00032598">
            <w:pPr>
              <w:rPr>
                <w:rStyle w:val="A4"/>
                <w:rFonts w:ascii="Arial" w:hAnsi="Arial" w:cs="Arial"/>
                <w:color w:val="auto"/>
              </w:rPr>
            </w:pPr>
            <w:r w:rsidRPr="00032598">
              <w:rPr>
                <w:rFonts w:ascii="Arial" w:hAnsi="Arial" w:cs="Arial"/>
                <w:sz w:val="22"/>
                <w:szCs w:val="22"/>
              </w:rPr>
              <w:t>37 participants have completed the observation period</w:t>
            </w:r>
            <w:r w:rsidR="000E3D25">
              <w:rPr>
                <w:rFonts w:ascii="Arial" w:hAnsi="Arial" w:cs="Arial"/>
                <w:sz w:val="22"/>
                <w:szCs w:val="22"/>
              </w:rPr>
              <w:t xml:space="preserve"> to date</w:t>
            </w:r>
            <w:r w:rsidRPr="00032598">
              <w:rPr>
                <w:rFonts w:ascii="Arial" w:hAnsi="Arial" w:cs="Arial"/>
                <w:sz w:val="22"/>
                <w:szCs w:val="22"/>
              </w:rPr>
              <w:t xml:space="preserve">, during which 78 exacerbations occurred. Data collection for remaining subjects will be completed </w:t>
            </w:r>
            <w:r w:rsidR="000B771B">
              <w:rPr>
                <w:rFonts w:ascii="Arial" w:hAnsi="Arial" w:cs="Arial"/>
                <w:sz w:val="22"/>
                <w:szCs w:val="22"/>
              </w:rPr>
              <w:t>by</w:t>
            </w:r>
            <w:r w:rsidRPr="00032598">
              <w:rPr>
                <w:rFonts w:ascii="Arial" w:hAnsi="Arial" w:cs="Arial"/>
                <w:sz w:val="22"/>
                <w:szCs w:val="22"/>
              </w:rPr>
              <w:t xml:space="preserve"> January 4</w:t>
            </w:r>
            <w:r w:rsidRPr="00032598">
              <w:rPr>
                <w:rFonts w:ascii="Arial" w:hAnsi="Arial" w:cs="Arial"/>
                <w:sz w:val="22"/>
                <w:szCs w:val="22"/>
                <w:vertAlign w:val="superscript"/>
              </w:rPr>
              <w:t>th</w:t>
            </w:r>
            <w:proofErr w:type="gramStart"/>
            <w:r w:rsidRPr="00032598">
              <w:rPr>
                <w:rFonts w:ascii="Arial" w:hAnsi="Arial" w:cs="Arial"/>
                <w:sz w:val="22"/>
                <w:szCs w:val="22"/>
              </w:rPr>
              <w:t xml:space="preserve"> 2024</w:t>
            </w:r>
            <w:proofErr w:type="gramEnd"/>
            <w:r w:rsidRPr="00032598">
              <w:rPr>
                <w:rFonts w:ascii="Arial" w:hAnsi="Arial" w:cs="Arial"/>
                <w:sz w:val="22"/>
                <w:szCs w:val="22"/>
              </w:rPr>
              <w:t xml:space="preserve">. The median age of participants was 28 years and 34 (85%) </w:t>
            </w:r>
            <w:r w:rsidR="00C96460">
              <w:rPr>
                <w:rFonts w:ascii="Arial" w:hAnsi="Arial" w:cs="Arial"/>
                <w:sz w:val="22"/>
                <w:szCs w:val="22"/>
              </w:rPr>
              <w:t xml:space="preserve">had </w:t>
            </w:r>
            <w:r w:rsidRPr="00032598">
              <w:rPr>
                <w:rFonts w:ascii="Arial" w:hAnsi="Arial" w:cs="Arial"/>
                <w:sz w:val="22"/>
                <w:szCs w:val="22"/>
              </w:rPr>
              <w:t xml:space="preserve">at least one F508del CFTR mutation. 31 (77.5%) participants were on CFTR modulator therapy, 23 (57.5%) of whom </w:t>
            </w:r>
            <w:r w:rsidR="00C96460">
              <w:rPr>
                <w:rFonts w:ascii="Arial" w:hAnsi="Arial" w:cs="Arial"/>
                <w:sz w:val="22"/>
                <w:szCs w:val="22"/>
              </w:rPr>
              <w:t>received</w:t>
            </w:r>
            <w:r w:rsidRPr="00032598">
              <w:rPr>
                <w:rFonts w:ascii="Arial" w:hAnsi="Arial" w:cs="Arial"/>
                <w:sz w:val="22"/>
                <w:szCs w:val="22"/>
              </w:rPr>
              <w:t xml:space="preserve"> </w:t>
            </w:r>
            <w:proofErr w:type="spellStart"/>
            <w:r w:rsidRPr="00032598">
              <w:rPr>
                <w:rFonts w:ascii="Arial" w:hAnsi="Arial" w:cs="Arial"/>
                <w:sz w:val="22"/>
                <w:szCs w:val="22"/>
              </w:rPr>
              <w:t>elexacaftor</w:t>
            </w:r>
            <w:proofErr w:type="spellEnd"/>
            <w:r w:rsidRPr="00032598">
              <w:rPr>
                <w:rFonts w:ascii="Arial" w:hAnsi="Arial" w:cs="Arial"/>
                <w:sz w:val="22"/>
                <w:szCs w:val="22"/>
              </w:rPr>
              <w:t>/</w:t>
            </w:r>
            <w:proofErr w:type="spellStart"/>
            <w:r w:rsidRPr="00032598">
              <w:rPr>
                <w:rFonts w:ascii="Arial" w:hAnsi="Arial" w:cs="Arial"/>
                <w:sz w:val="22"/>
                <w:szCs w:val="22"/>
              </w:rPr>
              <w:t>tezacaftor</w:t>
            </w:r>
            <w:proofErr w:type="spellEnd"/>
            <w:r w:rsidRPr="00032598">
              <w:rPr>
                <w:rFonts w:ascii="Arial" w:hAnsi="Arial" w:cs="Arial"/>
                <w:sz w:val="22"/>
                <w:szCs w:val="22"/>
              </w:rPr>
              <w:t>/ivacaftor (</w:t>
            </w:r>
            <w:proofErr w:type="spellStart"/>
            <w:r w:rsidRPr="00032598">
              <w:rPr>
                <w:rFonts w:ascii="Arial" w:hAnsi="Arial" w:cs="Arial"/>
                <w:sz w:val="22"/>
                <w:szCs w:val="22"/>
              </w:rPr>
              <w:t>Trikafta</w:t>
            </w:r>
            <w:proofErr w:type="spellEnd"/>
            <w:r w:rsidRPr="00032598">
              <w:rPr>
                <w:rFonts w:ascii="Arial" w:hAnsi="Arial" w:cs="Arial"/>
                <w:sz w:val="22"/>
                <w:szCs w:val="22"/>
              </w:rPr>
              <w:t xml:space="preserve">). 35 (87.5%) had </w:t>
            </w:r>
            <w:proofErr w:type="spellStart"/>
            <w:proofErr w:type="gramStart"/>
            <w:r w:rsidRPr="00032598">
              <w:rPr>
                <w:rFonts w:ascii="Arial" w:hAnsi="Arial" w:cs="Arial"/>
                <w:i/>
                <w:iCs/>
                <w:sz w:val="22"/>
                <w:szCs w:val="22"/>
              </w:rPr>
              <w:t>P</w:t>
            </w:r>
            <w:r w:rsidR="000B771B">
              <w:rPr>
                <w:rFonts w:ascii="Arial" w:hAnsi="Arial" w:cs="Arial"/>
                <w:i/>
                <w:iCs/>
                <w:sz w:val="22"/>
                <w:szCs w:val="22"/>
              </w:rPr>
              <w:t>.</w:t>
            </w:r>
            <w:r w:rsidRPr="00032598">
              <w:rPr>
                <w:rFonts w:ascii="Arial" w:hAnsi="Arial" w:cs="Arial"/>
                <w:i/>
                <w:iCs/>
                <w:sz w:val="22"/>
                <w:szCs w:val="22"/>
              </w:rPr>
              <w:t>aeruginosa</w:t>
            </w:r>
            <w:proofErr w:type="spellEnd"/>
            <w:proofErr w:type="gramEnd"/>
            <w:r w:rsidRPr="00032598">
              <w:rPr>
                <w:rFonts w:ascii="Arial" w:hAnsi="Arial" w:cs="Arial"/>
                <w:sz w:val="22"/>
                <w:szCs w:val="22"/>
              </w:rPr>
              <w:t xml:space="preserve"> chronic infection. The median FEV</w:t>
            </w:r>
            <w:r w:rsidRPr="00032598">
              <w:rPr>
                <w:rFonts w:ascii="Arial" w:hAnsi="Arial" w:cs="Arial"/>
                <w:sz w:val="22"/>
                <w:szCs w:val="22"/>
                <w:vertAlign w:val="subscript"/>
              </w:rPr>
              <w:t xml:space="preserve">1 </w:t>
            </w:r>
            <w:r w:rsidRPr="00032598">
              <w:rPr>
                <w:rFonts w:ascii="Arial" w:hAnsi="Arial" w:cs="Arial"/>
                <w:sz w:val="22"/>
                <w:szCs w:val="22"/>
              </w:rPr>
              <w:t xml:space="preserve">was 50% predicted. </w:t>
            </w:r>
            <w:r w:rsidR="000B771B">
              <w:rPr>
                <w:rFonts w:ascii="Arial" w:hAnsi="Arial" w:cs="Arial"/>
                <w:sz w:val="22"/>
                <w:szCs w:val="22"/>
              </w:rPr>
              <w:t>Currently</w:t>
            </w:r>
            <w:r w:rsidRPr="00032598">
              <w:rPr>
                <w:rFonts w:ascii="Arial" w:hAnsi="Arial" w:cs="Arial"/>
                <w:sz w:val="22"/>
                <w:szCs w:val="22"/>
              </w:rPr>
              <w:t xml:space="preserve"> 5,254,198 million data points from the Garmin devices have been collected, alongside 3082 nights of sleep. </w:t>
            </w:r>
          </w:p>
          <w:p w14:paraId="652F7BE1" w14:textId="77777777" w:rsidR="001564A4" w:rsidRPr="0050053A" w:rsidRDefault="001564A4" w:rsidP="000A28E2">
            <w:pPr>
              <w:pStyle w:val="Pa12"/>
              <w:rPr>
                <w:rStyle w:val="A4"/>
                <w:b/>
                <w:bCs/>
              </w:rPr>
            </w:pPr>
            <w:r w:rsidRPr="0050053A">
              <w:rPr>
                <w:rStyle w:val="A4"/>
                <w:b/>
                <w:bCs/>
              </w:rPr>
              <w:t xml:space="preserve">Conclusion: </w:t>
            </w:r>
          </w:p>
          <w:p w14:paraId="70F400A6" w14:textId="489F3B26" w:rsidR="00032598" w:rsidRDefault="00032598" w:rsidP="000A28E2">
            <w:pPr>
              <w:pStyle w:val="Pa12"/>
              <w:rPr>
                <w:b/>
                <w:bCs/>
                <w:sz w:val="22"/>
                <w:szCs w:val="22"/>
              </w:rPr>
            </w:pPr>
            <w:r w:rsidRPr="784F2682">
              <w:rPr>
                <w:sz w:val="22"/>
                <w:szCs w:val="22"/>
              </w:rPr>
              <w:t xml:space="preserve">We </w:t>
            </w:r>
            <w:r>
              <w:rPr>
                <w:sz w:val="22"/>
                <w:szCs w:val="22"/>
              </w:rPr>
              <w:t>demonstrate the capability to aggregate millions of health-related data points, from which longitudinal analytics can further characterise the physiology of pulmonary exacerbation in CF.</w:t>
            </w:r>
            <w:r w:rsidR="001564A4">
              <w:rPr>
                <w:rStyle w:val="A4"/>
                <w:bCs/>
              </w:rPr>
              <w:br/>
            </w:r>
            <w:r w:rsidRPr="00EC0526">
              <w:rPr>
                <w:b/>
                <w:bCs/>
                <w:sz w:val="22"/>
                <w:szCs w:val="22"/>
              </w:rPr>
              <w:t xml:space="preserve">Grant Support: </w:t>
            </w:r>
          </w:p>
          <w:p w14:paraId="7F8381F0" w14:textId="30ECCA33" w:rsidR="001564A4" w:rsidRDefault="00032598" w:rsidP="000A28E2">
            <w:pPr>
              <w:pStyle w:val="Pa12"/>
              <w:rPr>
                <w:sz w:val="22"/>
                <w:szCs w:val="22"/>
              </w:rPr>
            </w:pPr>
            <w:r w:rsidRPr="00EC0526">
              <w:rPr>
                <w:sz w:val="22"/>
                <w:szCs w:val="22"/>
              </w:rPr>
              <w:t>Graeme Mattison is supported by the Digital Health Cooperative Research Centre, which is funded by the Commonwealth Government through the Cooperative Research Centres Program. The funding source provides salary support only and had no input in the planning, writing or publication of this research.</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32598"/>
    <w:rsid w:val="000B771B"/>
    <w:rsid w:val="000E3D25"/>
    <w:rsid w:val="001564A4"/>
    <w:rsid w:val="00301956"/>
    <w:rsid w:val="0051574E"/>
    <w:rsid w:val="00667AE2"/>
    <w:rsid w:val="007C4863"/>
    <w:rsid w:val="007E5D51"/>
    <w:rsid w:val="008803FA"/>
    <w:rsid w:val="008A5A91"/>
    <w:rsid w:val="009511E2"/>
    <w:rsid w:val="00B12E32"/>
    <w:rsid w:val="00C96460"/>
    <w:rsid w:val="00D17852"/>
    <w:rsid w:val="00E0700F"/>
    <w:rsid w:val="00E418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CommentText">
    <w:name w:val="annotation text"/>
    <w:basedOn w:val="Normal"/>
    <w:link w:val="CommentTextChar"/>
    <w:uiPriority w:val="99"/>
    <w:unhideWhenUsed/>
    <w:rsid w:val="00301956"/>
    <w:rPr>
      <w:sz w:val="20"/>
      <w:szCs w:val="20"/>
    </w:rPr>
  </w:style>
  <w:style w:type="character" w:customStyle="1" w:styleId="CommentTextChar">
    <w:name w:val="Comment Text Char"/>
    <w:basedOn w:val="DefaultParagraphFont"/>
    <w:link w:val="CommentText"/>
    <w:uiPriority w:val="99"/>
    <w:rsid w:val="00301956"/>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3019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Graeme Mattison</cp:lastModifiedBy>
  <cp:revision>8</cp:revision>
  <dcterms:created xsi:type="dcterms:W3CDTF">2023-10-15T23:33:00Z</dcterms:created>
  <dcterms:modified xsi:type="dcterms:W3CDTF">2023-10-19T00:59:00Z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