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9E55EFB" w:rsidR="001564A4" w:rsidRPr="0050053A" w:rsidRDefault="002E187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E187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Exploring the lung </w:t>
            </w:r>
            <w:r w:rsidR="002A13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cancer </w:t>
            </w:r>
            <w:r w:rsidRPr="002E187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microbiome using metagenomics in an Australian cohort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87FA356" w:rsidR="001564A4" w:rsidRPr="00413B94" w:rsidRDefault="00D96DF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Timothy Baird</w:t>
            </w:r>
            <w:r w:rsidR="00C7291B" w:rsidRPr="00C729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Pr="00C729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, </w:t>
            </w:r>
            <w:r w:rsidR="002A03ED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Olusola </w:t>
            </w:r>
            <w:r w:rsidR="002A03E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S. </w:t>
            </w:r>
            <w:r w:rsidR="002A03ED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Olagoke</w:t>
            </w:r>
            <w:r w:rsidR="002A03ED" w:rsidRPr="004F3F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2A03ED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Bryan A. Chan</w:t>
            </w:r>
            <w:r w:rsidR="00C7291B" w:rsidRPr="004F3F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</w:t>
            </w:r>
            <w:r w:rsidR="004F3FAA" w:rsidRPr="004F3F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, Michael Bint</w:t>
            </w:r>
            <w:r w:rsidR="004F3FAA" w:rsidRPr="004F3F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, Andrew Pattison</w:t>
            </w:r>
            <w:r w:rsidR="004F3FAA" w:rsidRPr="004F3F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2A03ED">
              <w:rPr>
                <w:rFonts w:ascii="Arial" w:hAnsi="Arial" w:cs="Arial"/>
                <w:sz w:val="22"/>
                <w:szCs w:val="22"/>
                <w:lang w:val="en-US" w:eastAsia="en-GB"/>
              </w:rPr>
              <w:t>Tamieka A. Fraser</w:t>
            </w:r>
            <w:r w:rsidR="002A03E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2A03E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Peter </w:t>
            </w:r>
            <w:r w:rsidR="002A03E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T. 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Bell</w:t>
            </w:r>
            <w:r w:rsidR="004F3FAA" w:rsidRPr="004F3FA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Leigh </w:t>
            </w:r>
            <w:r w:rsidR="00BF7E6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K. 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Greathouse</w:t>
            </w:r>
            <w:r w:rsidR="009A1C11" w:rsidRPr="009A1C1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, Joshua K. Stone</w:t>
            </w:r>
            <w:r w:rsidR="00A50299" w:rsidRPr="009A1C1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, Derek S. Sarovich</w:t>
            </w:r>
            <w:r w:rsidR="00CF2BF0" w:rsidRPr="00CF2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52122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*</w:t>
            </w:r>
            <w:r w:rsidR="00A50299" w:rsidRPr="00A50299">
              <w:rPr>
                <w:rFonts w:ascii="Arial" w:hAnsi="Arial" w:cs="Arial"/>
                <w:sz w:val="22"/>
                <w:szCs w:val="22"/>
                <w:lang w:val="en-US" w:eastAsia="en-GB"/>
              </w:rPr>
              <w:t>, and Erin P. Price</w:t>
            </w:r>
            <w:r w:rsidR="00CF2BF0" w:rsidRPr="00CF2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52122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*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515EA6F" w14:textId="62530D4C" w:rsidR="00AE6853" w:rsidRPr="00496DF6" w:rsidRDefault="00AE6853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E685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Department, Sunshine Coast University Hospital, Birtinya, QLD, Australia</w:t>
            </w:r>
          </w:p>
          <w:p w14:paraId="14CF84D6" w14:textId="4806CF0E" w:rsidR="00AE6853" w:rsidRPr="00496DF6" w:rsidRDefault="00AE6853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E685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Sunshine Coast Health Institute, Birtinya, QLD, Australia</w:t>
            </w:r>
          </w:p>
          <w:p w14:paraId="3E08724E" w14:textId="143F54F1" w:rsidR="00AE6853" w:rsidRDefault="00AE6853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E685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7906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Centre for </w:t>
            </w:r>
            <w:proofErr w:type="spellStart"/>
            <w:r w:rsidR="007906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Bioinnovation</w:t>
            </w:r>
            <w:proofErr w:type="spellEnd"/>
            <w:r w:rsidR="007906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the Sunshine Coast, Sippy Downs, QLD, Australia</w:t>
            </w:r>
          </w:p>
          <w:p w14:paraId="2EB51F2D" w14:textId="1F4F9EC8" w:rsidR="00496DF6" w:rsidRPr="00496DF6" w:rsidRDefault="00AE6853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96DF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496DF6" w:rsidRPr="00D96DF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496DF6"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</w:t>
            </w:r>
            <w:proofErr w:type="spellStart"/>
            <w:r w:rsidR="00496DF6"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Adem</w:t>
            </w:r>
            <w:proofErr w:type="spellEnd"/>
            <w:r w:rsidR="00496DF6"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Crosby Cancer Centre, Sunshine Coast University Hospital, Birtinya, QLD, Australia</w:t>
            </w:r>
          </w:p>
          <w:p w14:paraId="7579DBA2" w14:textId="55BCE223" w:rsidR="00496DF6" w:rsidRPr="00496DF6" w:rsidRDefault="00D96DFE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96DF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496DF6"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Medicine and Dentistry, Griffith University, Birtinya, QLD, Australia </w:t>
            </w:r>
          </w:p>
          <w:p w14:paraId="35C59D1A" w14:textId="77777777" w:rsidR="00496DF6" w:rsidRPr="00496DF6" w:rsidRDefault="00496DF6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96DF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Robbins College of Health and Human Sciences, Baylor University, Waco, TX, USA</w:t>
            </w:r>
          </w:p>
          <w:p w14:paraId="45ED36BF" w14:textId="0414A799" w:rsidR="001564A4" w:rsidRPr="0050053A" w:rsidRDefault="00496DF6" w:rsidP="0032737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96DF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2A0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Center for Cancer Research, </w:t>
            </w:r>
            <w:r w:rsidRPr="00496D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Cancer Institute, Bethesda, MD, USA</w:t>
            </w:r>
          </w:p>
        </w:tc>
      </w:tr>
      <w:tr w:rsidR="001564A4" w:rsidRPr="00630B2E" w14:paraId="6DAF615A" w14:textId="77777777" w:rsidTr="0032737F">
        <w:trPr>
          <w:trHeight w:hRule="exact" w:val="9281"/>
          <w:jc w:val="center"/>
        </w:trPr>
        <w:tc>
          <w:tcPr>
            <w:tcW w:w="8640" w:type="dxa"/>
            <w:shd w:val="clear" w:color="auto" w:fill="auto"/>
          </w:tcPr>
          <w:p w14:paraId="011EF72A" w14:textId="77777777" w:rsidR="002671B6" w:rsidRDefault="001564A4" w:rsidP="002671B6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bookmarkStart w:id="0" w:name="_Hlk147826426"/>
            <w:bookmarkStart w:id="1" w:name="_Hlk147826581"/>
            <w:r w:rsidRPr="001A5E8E">
              <w:rPr>
                <w:rStyle w:val="A4"/>
                <w:b/>
                <w:bCs/>
              </w:rPr>
              <w:t xml:space="preserve">Introduction/Aim: </w:t>
            </w:r>
          </w:p>
          <w:p w14:paraId="1F53C622" w14:textId="75E42800" w:rsidR="00EF1DF0" w:rsidRPr="002671B6" w:rsidRDefault="00630B2E" w:rsidP="002671B6">
            <w:pPr>
              <w:pStyle w:val="Pa12"/>
              <w:spacing w:line="240" w:lineRule="auto"/>
              <w:rPr>
                <w:rStyle w:val="contentpasted1"/>
                <w:color w:val="000000"/>
                <w:sz w:val="22"/>
                <w:szCs w:val="22"/>
              </w:rPr>
            </w:pPr>
            <w:r w:rsidRPr="001A5E8E">
              <w:rPr>
                <w:rStyle w:val="contentpasted1"/>
                <w:sz w:val="22"/>
                <w:szCs w:val="22"/>
                <w:lang w:val="en-US"/>
              </w:rPr>
              <w:t>Lung cancer (LC)</w:t>
            </w:r>
            <w:r w:rsidRPr="001A5E8E">
              <w:rPr>
                <w:rStyle w:val="contentpasted1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A5E8E">
              <w:rPr>
                <w:rStyle w:val="contentpasted1"/>
                <w:sz w:val="22"/>
                <w:szCs w:val="22"/>
                <w:lang w:val="en-US"/>
              </w:rPr>
              <w:t>remains the leading cause of global cancer deaths.</w:t>
            </w:r>
            <w:r w:rsidR="007B6E03">
              <w:rPr>
                <w:rStyle w:val="contentpasted1"/>
                <w:sz w:val="22"/>
                <w:szCs w:val="22"/>
                <w:lang w:val="en-US"/>
              </w:rPr>
              <w:t xml:space="preserve"> </w:t>
            </w:r>
            <w:r w:rsidR="00896C1A">
              <w:rPr>
                <w:rStyle w:val="contentpasted1"/>
                <w:sz w:val="22"/>
                <w:szCs w:val="22"/>
                <w:lang w:val="en-US"/>
              </w:rPr>
              <w:t xml:space="preserve">Given </w:t>
            </w:r>
            <w:r w:rsidR="001C1F05">
              <w:rPr>
                <w:rStyle w:val="contentpasted1"/>
                <w:sz w:val="22"/>
                <w:szCs w:val="22"/>
                <w:lang w:val="en-US"/>
              </w:rPr>
              <w:t>frequent</w:t>
            </w:r>
            <w:r w:rsidR="00896C1A">
              <w:rPr>
                <w:rStyle w:val="contentpasted1"/>
                <w:sz w:val="22"/>
                <w:szCs w:val="22"/>
                <w:lang w:val="en-US"/>
              </w:rPr>
              <w:t xml:space="preserve"> late-stage disease presentation</w:t>
            </w:r>
            <w:r w:rsidR="00ED2FEB">
              <w:rPr>
                <w:rStyle w:val="contentpasted1"/>
                <w:sz w:val="22"/>
                <w:szCs w:val="22"/>
                <w:lang w:val="en-US"/>
              </w:rPr>
              <w:t xml:space="preserve"> and significant morbidity</w:t>
            </w:r>
            <w:r w:rsidR="00896C1A">
              <w:rPr>
                <w:rStyle w:val="contentpasted1"/>
                <w:sz w:val="22"/>
                <w:szCs w:val="22"/>
                <w:lang w:val="en-US"/>
              </w:rPr>
              <w:t xml:space="preserve">, </w:t>
            </w:r>
            <w:r w:rsidRPr="001A5E8E">
              <w:rPr>
                <w:rStyle w:val="contentpasted1"/>
                <w:sz w:val="22"/>
                <w:szCs w:val="22"/>
                <w:lang w:val="en-US"/>
              </w:rPr>
              <w:t>earlier diagnosis</w:t>
            </w:r>
            <w:r w:rsidR="00521C2B">
              <w:rPr>
                <w:rStyle w:val="contentpasted1"/>
                <w:sz w:val="22"/>
                <w:szCs w:val="22"/>
                <w:lang w:val="en-US"/>
              </w:rPr>
              <w:t xml:space="preserve"> </w:t>
            </w:r>
            <w:r w:rsidRPr="001A5E8E">
              <w:rPr>
                <w:rStyle w:val="contentpasted1"/>
                <w:sz w:val="22"/>
                <w:szCs w:val="22"/>
                <w:lang w:val="en-US"/>
              </w:rPr>
              <w:t xml:space="preserve">and novel treatments are </w:t>
            </w:r>
            <w:r w:rsidR="00896C1A">
              <w:rPr>
                <w:rStyle w:val="contentpasted1"/>
                <w:sz w:val="22"/>
                <w:szCs w:val="22"/>
                <w:lang w:val="en-US"/>
              </w:rPr>
              <w:t>needed</w:t>
            </w:r>
            <w:r w:rsidR="00ED2FEB">
              <w:rPr>
                <w:rStyle w:val="contentpasted1"/>
                <w:sz w:val="22"/>
                <w:szCs w:val="22"/>
                <w:lang w:val="en-US"/>
              </w:rPr>
              <w:t xml:space="preserve">. </w:t>
            </w:r>
            <w:r w:rsidR="00564D18">
              <w:rPr>
                <w:rStyle w:val="contentpasted1"/>
                <w:sz w:val="22"/>
                <w:szCs w:val="22"/>
                <w:lang w:val="en-US"/>
              </w:rPr>
              <w:t xml:space="preserve">Recent </w:t>
            </w:r>
            <w:r w:rsidR="00896C1A">
              <w:rPr>
                <w:rStyle w:val="contentpasted1"/>
                <w:sz w:val="22"/>
                <w:szCs w:val="22"/>
                <w:lang w:val="en-US"/>
              </w:rPr>
              <w:t>i</w:t>
            </w:r>
            <w:r w:rsidRPr="001A5E8E">
              <w:rPr>
                <w:rStyle w:val="contentpasted1"/>
                <w:sz w:val="22"/>
                <w:szCs w:val="22"/>
                <w:lang w:val="en-US"/>
              </w:rPr>
              <w:t xml:space="preserve">nternational studies have begun unveiling microbial </w:t>
            </w:r>
            <w:r w:rsidR="001C1F05">
              <w:rPr>
                <w:rStyle w:val="contentpasted1"/>
                <w:sz w:val="22"/>
                <w:szCs w:val="22"/>
                <w:lang w:val="en-US"/>
              </w:rPr>
              <w:t>dysbiosis in</w:t>
            </w:r>
            <w:r w:rsidRPr="001A5E8E">
              <w:rPr>
                <w:rStyle w:val="contentpasted1"/>
                <w:sz w:val="22"/>
                <w:szCs w:val="22"/>
                <w:lang w:val="en-US"/>
              </w:rPr>
              <w:t xml:space="preserve"> LC</w:t>
            </w:r>
            <w:r w:rsidR="001C1F05">
              <w:rPr>
                <w:rStyle w:val="contentpasted1"/>
                <w:sz w:val="22"/>
                <w:szCs w:val="22"/>
                <w:lang w:val="en-US"/>
              </w:rPr>
              <w:t>. H</w:t>
            </w:r>
            <w:r w:rsidRPr="001A5E8E">
              <w:rPr>
                <w:rStyle w:val="contentpasted1"/>
                <w:sz w:val="22"/>
                <w:szCs w:val="22"/>
                <w:lang w:val="en-US"/>
              </w:rPr>
              <w:t xml:space="preserve">owever, similar studies have yet to be conducted in Australian cohorts. </w:t>
            </w:r>
            <w:r w:rsidR="009E0903" w:rsidRPr="001A5E8E">
              <w:rPr>
                <w:rStyle w:val="contentpasted1"/>
                <w:sz w:val="22"/>
                <w:szCs w:val="22"/>
                <w:lang w:val="en-US"/>
              </w:rPr>
              <w:t xml:space="preserve">We aimed to identify </w:t>
            </w:r>
            <w:r w:rsidR="001A35CA">
              <w:rPr>
                <w:rStyle w:val="contentpasted1"/>
                <w:sz w:val="22"/>
                <w:szCs w:val="22"/>
                <w:lang w:val="en-US"/>
              </w:rPr>
              <w:t xml:space="preserve">the </w:t>
            </w:r>
            <w:r w:rsidR="009E0903" w:rsidRPr="001A5E8E">
              <w:rPr>
                <w:rStyle w:val="contentpasted1"/>
                <w:sz w:val="22"/>
                <w:szCs w:val="22"/>
                <w:lang w:val="en-US"/>
              </w:rPr>
              <w:t xml:space="preserve">LC </w:t>
            </w:r>
            <w:r w:rsidR="001A35CA">
              <w:rPr>
                <w:rStyle w:val="contentpasted1"/>
                <w:sz w:val="22"/>
                <w:szCs w:val="22"/>
                <w:lang w:val="en-US"/>
              </w:rPr>
              <w:t xml:space="preserve">microbiome </w:t>
            </w:r>
            <w:r w:rsidR="009E0903" w:rsidRPr="001A5E8E">
              <w:rPr>
                <w:rStyle w:val="contentpasted1"/>
                <w:sz w:val="22"/>
                <w:szCs w:val="22"/>
                <w:lang w:val="en-US"/>
              </w:rPr>
              <w:t xml:space="preserve">in </w:t>
            </w:r>
            <w:r w:rsidR="009C4C60">
              <w:rPr>
                <w:rStyle w:val="contentpasted1"/>
                <w:sz w:val="22"/>
                <w:szCs w:val="22"/>
                <w:lang w:val="en-US"/>
              </w:rPr>
              <w:t>Australian</w:t>
            </w:r>
            <w:r w:rsidR="009F79CD">
              <w:rPr>
                <w:rStyle w:val="contentpasted1"/>
                <w:sz w:val="22"/>
                <w:szCs w:val="22"/>
                <w:lang w:val="en-US"/>
              </w:rPr>
              <w:t>s</w:t>
            </w:r>
            <w:r w:rsidR="009C4C60">
              <w:rPr>
                <w:rStyle w:val="contentpasted1"/>
                <w:sz w:val="22"/>
                <w:szCs w:val="22"/>
                <w:lang w:val="en-US"/>
              </w:rPr>
              <w:t xml:space="preserve"> with early-stage LC.</w:t>
            </w:r>
          </w:p>
          <w:p w14:paraId="49237655" w14:textId="77777777" w:rsidR="002671B6" w:rsidRDefault="00EF1DF0" w:rsidP="001A35CA">
            <w:pPr>
              <w:jc w:val="both"/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5E8E"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  <w:t>Methods:</w:t>
            </w:r>
          </w:p>
          <w:p w14:paraId="6D22D776" w14:textId="48FB8FDB" w:rsidR="00FB4C7F" w:rsidRPr="002671B6" w:rsidRDefault="007F3141" w:rsidP="001A35CA">
            <w:pPr>
              <w:jc w:val="both"/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this</w:t>
            </w:r>
            <w:r w:rsidR="00FB4C7F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prospective </w:t>
            </w:r>
            <w:r w:rsidR="005E135A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single-</w:t>
            </w:r>
            <w:proofErr w:type="spellStart"/>
            <w:r w:rsidR="005E135A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centr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e</w:t>
            </w:r>
            <w:proofErr w:type="spellEnd"/>
            <w:r w:rsidR="005E135A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B4C7F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cohort study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FB4C7F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="005E135A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e 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obtained 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87</w:t>
            </w:r>
            <w:r w:rsidR="002A03ED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specimens from 28</w:t>
            </w:r>
            <w:r w:rsidR="008E7E1C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Australian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with 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early s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tage 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I/</w:t>
            </w:r>
            <w:proofErr w:type="spellStart"/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IIa</w:t>
            </w:r>
            <w:proofErr w:type="spellEnd"/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disease</w:t>
            </w:r>
            <w:r w:rsidR="002A03ED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(25 non-small cell LC</w:t>
            </w:r>
            <w:r w:rsidR="00FB4C7F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, 3 small 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cell </w:t>
            </w:r>
            <w:r w:rsidR="00FB4C7F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LC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8E7E1C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Shotgu</w:t>
            </w:r>
            <w:r w:rsidR="008E7E1C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metagenomic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was undertaken on 16 oral washes taken pre-bronchoscopy to define the oral microbiome, 27 LC site and 27 contralateral (non-</w:t>
            </w:r>
            <w:proofErr w:type="spellStart"/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tumour</w:t>
            </w:r>
            <w:proofErr w:type="spellEnd"/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side) lung washes taken pre-biopsy to compare </w:t>
            </w:r>
            <w:proofErr w:type="spellStart"/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extratumoural</w:t>
            </w:r>
            <w:proofErr w:type="spellEnd"/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vs. normal lung microbiota,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18 LC</w:t>
            </w:r>
            <w:r w:rsidR="004C1FC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b</w:t>
            </w:r>
            <w:r w:rsidR="002A03E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iopsies,</w:t>
            </w:r>
            <w:r w:rsidR="00630B2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and 8 reagent-only controls to define background contamination. </w:t>
            </w:r>
          </w:p>
          <w:p w14:paraId="6F8A384B" w14:textId="64C1BD40" w:rsidR="002671B6" w:rsidRDefault="00FB4C7F" w:rsidP="001A35CA">
            <w:pPr>
              <w:jc w:val="both"/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5E8E"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Results</w:t>
            </w:r>
            <w:r w:rsidR="0061114D" w:rsidRPr="001A5E8E"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="002671B6"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Comparison of LC site and contralateral wash microbiota identified seven commensal oropharyngeal microbes that were significantly less abundant </w:t>
            </w:r>
            <w:r w:rsidR="0078362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within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639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LC </w:t>
            </w:r>
            <w:r w:rsidR="007F639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site</w:t>
            </w:r>
            <w:r w:rsidR="00BA7FE2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BA7FE2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p&lt;</w:t>
            </w:r>
            <w:r w:rsidR="00BA7FE2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0.05)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, whereas two microbes (</w:t>
            </w:r>
            <w:proofErr w:type="spellStart"/>
            <w:r w:rsidR="002A03ED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Capnocytophaga</w:t>
            </w:r>
            <w:proofErr w:type="spellEnd"/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sp. oral taxon 878 and </w:t>
            </w:r>
            <w:r w:rsidR="002A03ED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Klebsiella aerogenes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) were significantly </w:t>
            </w:r>
            <w:r w:rsidR="00494949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more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abundant </w:t>
            </w:r>
            <w:r w:rsidR="004D1D38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within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639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DC649D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94949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LC</w:t>
            </w:r>
            <w:r w:rsidR="00BD044F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site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A7FE2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BA7FE2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p&lt;</w:t>
            </w:r>
            <w:r w:rsidR="00BA7FE2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0.05)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. No significantly enriched or depleted microb</w:t>
            </w:r>
            <w:r w:rsidR="00A00CF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es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were identified in 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transbronchial lung 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biops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y specimens</w:t>
            </w:r>
            <w:r w:rsidR="002A03ED" w:rsidRPr="007D3EB3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243477">
              <w:t xml:space="preserve"> 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Finally, the previously LC-linked bacteria, </w:t>
            </w:r>
            <w:proofErr w:type="spellStart"/>
            <w:r w:rsidR="00243477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Acidovorax</w:t>
            </w:r>
            <w:proofErr w:type="spellEnd"/>
            <w:r w:rsidR="00243477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3477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temporans</w:t>
            </w:r>
            <w:proofErr w:type="spellEnd"/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="00243477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>Bradyrhizobium</w:t>
            </w:r>
            <w:proofErr w:type="spellEnd"/>
            <w:r w:rsidR="00243477" w:rsidRPr="007D3EB3">
              <w:rPr>
                <w:rStyle w:val="contentpasted1"/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japonicum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A00CF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were not identified 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in 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this 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cohort, indicating potential geographic differences in LC 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microbial</w:t>
            </w:r>
            <w:r w:rsidR="001C1F05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signatures.</w:t>
            </w:r>
          </w:p>
          <w:p w14:paraId="0A308D9E" w14:textId="77777777" w:rsidR="001A35CA" w:rsidRPr="001A35CA" w:rsidRDefault="001A35CA" w:rsidP="001A35CA">
            <w:pPr>
              <w:jc w:val="both"/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35CA">
              <w:rPr>
                <w:rStyle w:val="contentpasted1"/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Conclusion:</w:t>
            </w:r>
          </w:p>
          <w:p w14:paraId="4C53006D" w14:textId="4BB5AC6D" w:rsidR="0005737E" w:rsidRDefault="00630B2E" w:rsidP="001A35CA">
            <w:pPr>
              <w:jc w:val="both"/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</w:pPr>
            <w:r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Our study provides the first reported insights into the LC microbiome in early-stage 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LC in an Australian setting</w:t>
            </w:r>
            <w:r w:rsid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. Our findings suggest 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that reduced prevalence of certain commensal oropharyngeal microbes in the extra</w:t>
            </w:r>
            <w:r w:rsidR="001C1F05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-</w:t>
            </w:r>
            <w:proofErr w:type="spellStart"/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tumo</w:t>
            </w:r>
            <w:r w:rsidR="009B064A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ral</w:t>
            </w:r>
            <w:proofErr w:type="spellEnd"/>
            <w:r w:rsidR="00243477" w:rsidRP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environment may be a hallmark of early-stage LC.</w:t>
            </w:r>
            <w:r w:rsidR="00243477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B5A4E" w:rsidRP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Larger studies examining microbiome alterations in both the intra- and extra-</w:t>
            </w:r>
            <w:proofErr w:type="spellStart"/>
            <w:r w:rsidR="004B5A4E" w:rsidRP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tumoural</w:t>
            </w:r>
            <w:proofErr w:type="spellEnd"/>
            <w:r w:rsidR="004B5A4E" w:rsidRP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environments across LC subtypes are needed to provide a more in-depth assessment of subtype-specific microbiome signatures.</w:t>
            </w:r>
            <w:bookmarkEnd w:id="0"/>
            <w:r w:rsidR="004B5A4E" w:rsidRP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Our findings consolidate international studies showing that </w:t>
            </w:r>
            <w:r w:rsidR="004B5A4E"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microb</w:t>
            </w:r>
            <w:r w:rsid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ial differences </w:t>
            </w:r>
            <w:r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in early-stage LC </w:t>
            </w:r>
            <w:r w:rsidR="004B5A4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may yield new biomarkers</w:t>
            </w:r>
            <w:r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for earlier diagnosis and </w:t>
            </w:r>
            <w:r w:rsidR="00F91EF4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provide </w:t>
            </w:r>
            <w:r w:rsidRPr="001A5E8E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novel treatment</w:t>
            </w:r>
            <w:r w:rsidR="001F414C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 xml:space="preserve"> tar</w:t>
            </w:r>
            <w:bookmarkEnd w:id="1"/>
            <w:r w:rsidR="00F91EF4">
              <w:rPr>
                <w:rStyle w:val="contentpasted1"/>
                <w:rFonts w:ascii="Arial" w:hAnsi="Arial" w:cs="Arial"/>
                <w:sz w:val="22"/>
                <w:szCs w:val="22"/>
                <w:lang w:val="en-US"/>
              </w:rPr>
              <w:t>gets.</w:t>
            </w:r>
          </w:p>
          <w:p w14:paraId="21894341" w14:textId="77777777" w:rsidR="00E52C9F" w:rsidRPr="007D3EB3" w:rsidRDefault="00E52C9F" w:rsidP="001A35CA">
            <w:pPr>
              <w:jc w:val="both"/>
              <w:rPr>
                <w:rStyle w:val="contentpasted1"/>
                <w:rFonts w:ascii="Arial" w:hAnsi="Arial" w:cs="Arial"/>
                <w:sz w:val="22"/>
                <w:szCs w:val="22"/>
              </w:rPr>
            </w:pPr>
          </w:p>
          <w:p w14:paraId="7EC76233" w14:textId="77777777" w:rsidR="002671B6" w:rsidRPr="006E206E" w:rsidRDefault="002671B6" w:rsidP="002671B6">
            <w:pPr>
              <w:pStyle w:val="Pa12"/>
              <w:rPr>
                <w:rStyle w:val="A4"/>
                <w:b/>
                <w:bCs/>
              </w:rPr>
            </w:pPr>
            <w:r w:rsidRPr="006E206E">
              <w:rPr>
                <w:rStyle w:val="A4"/>
                <w:b/>
                <w:bCs/>
              </w:rPr>
              <w:t xml:space="preserve">Grant Support: </w:t>
            </w:r>
          </w:p>
          <w:p w14:paraId="40D8BEDE" w14:textId="547AA8EC" w:rsidR="001A5E8E" w:rsidRPr="00521223" w:rsidRDefault="00127F5C" w:rsidP="009F604F">
            <w:pPr>
              <w:pStyle w:val="Default"/>
              <w:rPr>
                <w:sz w:val="22"/>
                <w:szCs w:val="22"/>
              </w:rPr>
            </w:pPr>
            <w:r w:rsidRPr="00127F5C">
              <w:rPr>
                <w:sz w:val="22"/>
                <w:szCs w:val="22"/>
              </w:rPr>
              <w:t>Sunshine Coast Health Institute (SCHI) Collaborative Seed Grant</w:t>
            </w:r>
            <w:r w:rsidR="002671B6" w:rsidRPr="006E206E">
              <w:rPr>
                <w:sz w:val="22"/>
                <w:szCs w:val="22"/>
              </w:rPr>
              <w:t xml:space="preserve"> – </w:t>
            </w:r>
            <w:r w:rsidR="00503FE8">
              <w:rPr>
                <w:sz w:val="22"/>
                <w:szCs w:val="22"/>
              </w:rPr>
              <w:t>$35</w:t>
            </w:r>
            <w:r w:rsidR="002671B6" w:rsidRPr="006E206E">
              <w:rPr>
                <w:sz w:val="22"/>
                <w:szCs w:val="22"/>
              </w:rPr>
              <w:t>,000</w:t>
            </w:r>
            <w:r w:rsidR="00A1307C">
              <w:rPr>
                <w:sz w:val="22"/>
                <w:szCs w:val="22"/>
              </w:rPr>
              <w:t>; Advance Queensland Fellowships (EPP [$300,000] and OSO [$90,000])</w:t>
            </w:r>
            <w:r w:rsidR="002671B6" w:rsidRPr="006E206E">
              <w:rPr>
                <w:sz w:val="22"/>
                <w:szCs w:val="22"/>
              </w:rPr>
              <w:t>.</w:t>
            </w:r>
            <w:r w:rsidR="002671B6" w:rsidRPr="006E206E">
              <w:rPr>
                <w:sz w:val="22"/>
                <w:szCs w:val="22"/>
              </w:rPr>
              <w:br/>
            </w:r>
            <w:r w:rsidR="002671B6" w:rsidRPr="006E206E">
              <w:rPr>
                <w:b/>
                <w:bCs/>
                <w:sz w:val="22"/>
                <w:szCs w:val="22"/>
              </w:rPr>
              <w:t>Key Words:</w:t>
            </w:r>
          </w:p>
          <w:p w14:paraId="7EFDDAC1" w14:textId="0054DFDB" w:rsidR="00A76C2C" w:rsidRDefault="00AA52F1" w:rsidP="00521223">
            <w:pPr>
              <w:pStyle w:val="Default"/>
              <w:rPr>
                <w:i/>
                <w:iCs/>
                <w:sz w:val="16"/>
                <w:szCs w:val="16"/>
                <w:vertAlign w:val="superscript"/>
                <w:lang w:val="en-US" w:eastAsia="en-GB"/>
              </w:rPr>
            </w:pPr>
            <w:r w:rsidRPr="003E73BB">
              <w:rPr>
                <w:sz w:val="22"/>
                <w:szCs w:val="22"/>
              </w:rPr>
              <w:t xml:space="preserve">Lung </w:t>
            </w:r>
            <w:r w:rsidR="0033144B">
              <w:rPr>
                <w:sz w:val="22"/>
                <w:szCs w:val="22"/>
              </w:rPr>
              <w:t>c</w:t>
            </w:r>
            <w:r w:rsidRPr="003E73BB">
              <w:rPr>
                <w:sz w:val="22"/>
                <w:szCs w:val="22"/>
              </w:rPr>
              <w:t xml:space="preserve">ancer; </w:t>
            </w:r>
            <w:r w:rsidR="00ED2FEB">
              <w:rPr>
                <w:sz w:val="22"/>
                <w:szCs w:val="22"/>
              </w:rPr>
              <w:t>m</w:t>
            </w:r>
            <w:r w:rsidRPr="003E73BB">
              <w:rPr>
                <w:sz w:val="22"/>
                <w:szCs w:val="22"/>
              </w:rPr>
              <w:t>icrobiome;</w:t>
            </w:r>
            <w:r w:rsidR="003E73BB" w:rsidRPr="003E73BB">
              <w:rPr>
                <w:sz w:val="22"/>
                <w:szCs w:val="22"/>
              </w:rPr>
              <w:t xml:space="preserve"> </w:t>
            </w:r>
            <w:r w:rsidR="00ED2FEB">
              <w:rPr>
                <w:sz w:val="22"/>
                <w:szCs w:val="22"/>
              </w:rPr>
              <w:t>n</w:t>
            </w:r>
            <w:r w:rsidR="003E73BB" w:rsidRPr="003E73BB">
              <w:rPr>
                <w:sz w:val="22"/>
                <w:szCs w:val="22"/>
              </w:rPr>
              <w:t xml:space="preserve">on-small cell lung cancer; </w:t>
            </w:r>
            <w:r w:rsidR="00ED2FEB">
              <w:rPr>
                <w:sz w:val="22"/>
                <w:szCs w:val="22"/>
              </w:rPr>
              <w:t>s</w:t>
            </w:r>
            <w:r w:rsidR="003E73BB" w:rsidRPr="003E73BB">
              <w:rPr>
                <w:sz w:val="22"/>
                <w:szCs w:val="22"/>
              </w:rPr>
              <w:t>mall</w:t>
            </w:r>
            <w:r w:rsidR="003E73BB">
              <w:rPr>
                <w:sz w:val="22"/>
                <w:szCs w:val="22"/>
              </w:rPr>
              <w:t>-</w:t>
            </w:r>
            <w:r w:rsidR="003E73BB" w:rsidRPr="003E73BB">
              <w:rPr>
                <w:sz w:val="22"/>
                <w:szCs w:val="22"/>
              </w:rPr>
              <w:t>cell lung can</w:t>
            </w:r>
            <w:r w:rsidR="003E73BB">
              <w:rPr>
                <w:sz w:val="22"/>
                <w:szCs w:val="22"/>
              </w:rPr>
              <w:t>cer</w:t>
            </w:r>
          </w:p>
          <w:p w14:paraId="5F58D34F" w14:textId="3B101BA0" w:rsidR="001564A4" w:rsidRPr="00A76C2C" w:rsidRDefault="00A76C2C" w:rsidP="00521223">
            <w:pPr>
              <w:pStyle w:val="Default"/>
              <w:rPr>
                <w:i/>
                <w:iCs/>
                <w:sz w:val="16"/>
                <w:szCs w:val="16"/>
                <w:lang w:val="en-US" w:eastAsia="en-GB"/>
              </w:rPr>
            </w:pPr>
            <w:r>
              <w:rPr>
                <w:i/>
                <w:iCs/>
                <w:sz w:val="16"/>
                <w:szCs w:val="16"/>
                <w:lang w:val="en-US" w:eastAsia="en-GB"/>
              </w:rPr>
              <w:t>*</w:t>
            </w:r>
            <w:r w:rsidR="00C13B4B" w:rsidRPr="00C13B4B">
              <w:rPr>
                <w:i/>
                <w:iCs/>
                <w:sz w:val="16"/>
                <w:szCs w:val="16"/>
                <w:lang w:val="en-US" w:eastAsia="en-GB"/>
              </w:rPr>
              <w:t>Authors contributed equall</w:t>
            </w:r>
            <w:r>
              <w:rPr>
                <w:i/>
                <w:iCs/>
                <w:sz w:val="16"/>
                <w:szCs w:val="16"/>
                <w:lang w:val="en-US" w:eastAsia="en-GB"/>
              </w:rPr>
              <w:t>y</w:t>
            </w:r>
          </w:p>
        </w:tc>
      </w:tr>
    </w:tbl>
    <w:p w14:paraId="7C36A9DC" w14:textId="6ADA1D3C" w:rsidR="00E0700F" w:rsidRPr="00630B2E" w:rsidRDefault="00E0700F" w:rsidP="003E73BB">
      <w:pPr>
        <w:rPr>
          <w:sz w:val="16"/>
          <w:szCs w:val="16"/>
        </w:rPr>
      </w:pPr>
    </w:p>
    <w:sectPr w:rsidR="00E0700F" w:rsidRPr="00630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5737E"/>
    <w:rsid w:val="00127F5C"/>
    <w:rsid w:val="001564A4"/>
    <w:rsid w:val="001A35CA"/>
    <w:rsid w:val="001A5E8E"/>
    <w:rsid w:val="001B1A41"/>
    <w:rsid w:val="001C1F05"/>
    <w:rsid w:val="001F414C"/>
    <w:rsid w:val="00243477"/>
    <w:rsid w:val="00246120"/>
    <w:rsid w:val="00247F6E"/>
    <w:rsid w:val="002671B6"/>
    <w:rsid w:val="0027666C"/>
    <w:rsid w:val="002A03ED"/>
    <w:rsid w:val="002A13B1"/>
    <w:rsid w:val="002E1871"/>
    <w:rsid w:val="002E3ADD"/>
    <w:rsid w:val="0032737F"/>
    <w:rsid w:val="0033144B"/>
    <w:rsid w:val="003E73BB"/>
    <w:rsid w:val="00472F0E"/>
    <w:rsid w:val="00474B22"/>
    <w:rsid w:val="00494949"/>
    <w:rsid w:val="00496DF6"/>
    <w:rsid w:val="004B4D2D"/>
    <w:rsid w:val="004B5A4E"/>
    <w:rsid w:val="004C1FC7"/>
    <w:rsid w:val="004D1D38"/>
    <w:rsid w:val="004F3FAA"/>
    <w:rsid w:val="00503FE8"/>
    <w:rsid w:val="0051574E"/>
    <w:rsid w:val="00521223"/>
    <w:rsid w:val="00521C2B"/>
    <w:rsid w:val="00564D18"/>
    <w:rsid w:val="005E135A"/>
    <w:rsid w:val="0061114D"/>
    <w:rsid w:val="00630B2E"/>
    <w:rsid w:val="006B5FDB"/>
    <w:rsid w:val="006C10D7"/>
    <w:rsid w:val="006F17AC"/>
    <w:rsid w:val="00704CD5"/>
    <w:rsid w:val="007633CC"/>
    <w:rsid w:val="00783627"/>
    <w:rsid w:val="007906B8"/>
    <w:rsid w:val="007B6E03"/>
    <w:rsid w:val="007D3715"/>
    <w:rsid w:val="007D3EB3"/>
    <w:rsid w:val="007E2629"/>
    <w:rsid w:val="007F3141"/>
    <w:rsid w:val="007F6393"/>
    <w:rsid w:val="00806A98"/>
    <w:rsid w:val="008803FA"/>
    <w:rsid w:val="00896C1A"/>
    <w:rsid w:val="008E7E1C"/>
    <w:rsid w:val="00927912"/>
    <w:rsid w:val="009A1C11"/>
    <w:rsid w:val="009B064A"/>
    <w:rsid w:val="009C4C60"/>
    <w:rsid w:val="009E0903"/>
    <w:rsid w:val="009F604F"/>
    <w:rsid w:val="009F79CD"/>
    <w:rsid w:val="00A00CF5"/>
    <w:rsid w:val="00A1307C"/>
    <w:rsid w:val="00A50299"/>
    <w:rsid w:val="00A75FC1"/>
    <w:rsid w:val="00A76C2C"/>
    <w:rsid w:val="00A863FC"/>
    <w:rsid w:val="00AA3540"/>
    <w:rsid w:val="00AA52F1"/>
    <w:rsid w:val="00AA5663"/>
    <w:rsid w:val="00AE6853"/>
    <w:rsid w:val="00B12E32"/>
    <w:rsid w:val="00B42FE4"/>
    <w:rsid w:val="00B47EED"/>
    <w:rsid w:val="00BA7FE2"/>
    <w:rsid w:val="00BD044F"/>
    <w:rsid w:val="00BF226B"/>
    <w:rsid w:val="00BF7E65"/>
    <w:rsid w:val="00C13B4B"/>
    <w:rsid w:val="00C504C6"/>
    <w:rsid w:val="00C70F5B"/>
    <w:rsid w:val="00C7291B"/>
    <w:rsid w:val="00CF2BF0"/>
    <w:rsid w:val="00D96DFE"/>
    <w:rsid w:val="00DB3607"/>
    <w:rsid w:val="00DC649D"/>
    <w:rsid w:val="00E0700F"/>
    <w:rsid w:val="00E21661"/>
    <w:rsid w:val="00E352CD"/>
    <w:rsid w:val="00E52C9F"/>
    <w:rsid w:val="00E733E0"/>
    <w:rsid w:val="00EB4413"/>
    <w:rsid w:val="00ED2FEB"/>
    <w:rsid w:val="00EF1DF0"/>
    <w:rsid w:val="00F225E1"/>
    <w:rsid w:val="00F32279"/>
    <w:rsid w:val="00F33933"/>
    <w:rsid w:val="00F91EF4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contentpasted1">
    <w:name w:val="contentpasted1"/>
    <w:basedOn w:val="DefaultParagraphFont"/>
    <w:rsid w:val="00630B2E"/>
  </w:style>
  <w:style w:type="paragraph" w:styleId="Revision">
    <w:name w:val="Revision"/>
    <w:hidden/>
    <w:uiPriority w:val="99"/>
    <w:semiHidden/>
    <w:rsid w:val="002A03E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0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3E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ED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F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05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Timothy Baird</cp:lastModifiedBy>
  <cp:revision>25</cp:revision>
  <dcterms:created xsi:type="dcterms:W3CDTF">2023-10-11T03:11:00Z</dcterms:created>
  <dcterms:modified xsi:type="dcterms:W3CDTF">2023-10-17T01:06:00Z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