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72D48" w14:textId="77777777" w:rsidR="00AB56AF" w:rsidRDefault="00AB56AF">
      <w:pPr>
        <w:rPr>
          <w:lang w:val="en-US"/>
        </w:rPr>
      </w:pPr>
    </w:p>
    <w:p w14:paraId="5C39DC05" w14:textId="7CE30FED" w:rsidR="00376AD5" w:rsidRDefault="00376AD5">
      <w:pPr>
        <w:rPr>
          <w:rFonts w:ascii="Arial" w:eastAsia="Times New Roman" w:hAnsi="Arial" w:cs="Arial"/>
          <w:b/>
          <w:bCs/>
          <w:kern w:val="0"/>
          <w:lang w:eastAsia="en-GB"/>
          <w14:ligatures w14:val="none"/>
        </w:rPr>
      </w:pPr>
      <w:r w:rsidRPr="00C07FBE">
        <w:rPr>
          <w:rFonts w:ascii="Arial" w:eastAsia="Times New Roman" w:hAnsi="Arial" w:cs="Arial"/>
          <w:b/>
          <w:bCs/>
          <w:kern w:val="0"/>
          <w:lang w:eastAsia="en-GB"/>
          <w14:ligatures w14:val="none"/>
        </w:rPr>
        <w:t>Advancing Rural Foot Health Equity Through a Podiatry</w:t>
      </w:r>
      <w:r w:rsidRPr="00C07FBE">
        <w:rPr>
          <w:rFonts w:ascii="Arial" w:eastAsia="Times New Roman" w:hAnsi="Arial" w:cs="Arial"/>
          <w:b/>
          <w:bCs/>
          <w:kern w:val="0"/>
          <w:lang w:eastAsia="en-GB"/>
          <w14:ligatures w14:val="none"/>
        </w:rPr>
        <w:noBreakHyphen/>
        <w:t>Led Diabetes Alliance Model (DAP+): Strengthening Workforce Capability, Connectivity and Service Sustainability</w:t>
      </w:r>
    </w:p>
    <w:p w14:paraId="483FB576" w14:textId="77777777" w:rsidR="00376AD5" w:rsidRDefault="00376AD5">
      <w:pPr>
        <w:rPr>
          <w:rFonts w:ascii="Arial" w:eastAsia="Times New Roman" w:hAnsi="Arial" w:cs="Arial"/>
          <w:b/>
          <w:bCs/>
          <w:kern w:val="0"/>
          <w:lang w:eastAsia="en-GB"/>
          <w14:ligatures w14:val="none"/>
        </w:rPr>
      </w:pPr>
    </w:p>
    <w:p w14:paraId="1ECA3977" w14:textId="77777777" w:rsidR="00376AD5" w:rsidRPr="00C07FBE" w:rsidRDefault="00376AD5" w:rsidP="00376AD5">
      <w:pPr>
        <w:spacing w:before="100" w:beforeAutospacing="1" w:after="100" w:afterAutospacing="1"/>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t xml:space="preserve">Background &amp; Aim:  </w:t>
      </w:r>
      <w:r w:rsidRPr="00C07FBE">
        <w:rPr>
          <w:rFonts w:ascii="Arial" w:eastAsia="Times New Roman" w:hAnsi="Arial" w:cs="Arial"/>
          <w:kern w:val="0"/>
          <w:lang w:eastAsia="en-GB"/>
          <w14:ligatures w14:val="none"/>
        </w:rPr>
        <w:t>disproportionate burden of diabetes</w:t>
      </w:r>
      <w:r w:rsidRPr="00C07FBE">
        <w:rPr>
          <w:rFonts w:ascii="Arial" w:eastAsia="Times New Roman" w:hAnsi="Arial" w:cs="Arial"/>
          <w:kern w:val="0"/>
          <w:lang w:eastAsia="en-GB"/>
          <w14:ligatures w14:val="none"/>
        </w:rPr>
        <w:noBreakHyphen/>
        <w:t>related foot disease exacerbated by fragmented pathways, workforce shortages and limited access to specialist care. Rural podiatrists often work in isolation without access to timely specialist diabetes support, contributing to professional fatigue and challenges in workforce retention.</w:t>
      </w:r>
    </w:p>
    <w:p w14:paraId="4A1B61AD" w14:textId="4F0B5C20" w:rsidR="00376AD5" w:rsidRDefault="00376AD5" w:rsidP="00376AD5">
      <w:pPr>
        <w:rPr>
          <w:rFonts w:ascii="Arial" w:eastAsia="Times New Roman" w:hAnsi="Arial" w:cs="Arial"/>
          <w:kern w:val="0"/>
          <w:lang w:eastAsia="en-GB"/>
          <w14:ligatures w14:val="none"/>
        </w:rPr>
      </w:pPr>
      <w:r w:rsidRPr="00C07FBE">
        <w:rPr>
          <w:rFonts w:ascii="Arial" w:eastAsia="Times New Roman" w:hAnsi="Arial" w:cs="Arial"/>
          <w:kern w:val="0"/>
          <w:lang w:eastAsia="en-GB"/>
          <w14:ligatures w14:val="none"/>
        </w:rPr>
        <w:t>The Diabetes Alliance Podiatry Plus (DAP+) program established a podiatry</w:t>
      </w:r>
      <w:r w:rsidRPr="00C07FBE">
        <w:rPr>
          <w:rFonts w:ascii="Arial" w:eastAsia="Times New Roman" w:hAnsi="Arial" w:cs="Arial"/>
          <w:kern w:val="0"/>
          <w:lang w:eastAsia="en-GB"/>
          <w14:ligatures w14:val="none"/>
        </w:rPr>
        <w:noBreakHyphen/>
        <w:t>led model positioning a senior DAP+ podiatrist, two days per week with an aim to provide a clinical anchor, mentor and system connector across public and private sectors, metropolitan and rural services, and multidisciplinary teams. This abstract describes how this role builds capability, links clinicians, provides expert advice and education, and strengthens the collective voice of rural podiatrists.</w:t>
      </w:r>
    </w:p>
    <w:p w14:paraId="3A8B2949" w14:textId="77777777" w:rsidR="00376AD5" w:rsidRDefault="00376AD5" w:rsidP="00376AD5">
      <w:pPr>
        <w:rPr>
          <w:rFonts w:ascii="Arial" w:eastAsia="Times New Roman" w:hAnsi="Arial" w:cs="Arial"/>
          <w:kern w:val="0"/>
          <w:lang w:eastAsia="en-GB"/>
          <w14:ligatures w14:val="none"/>
        </w:rPr>
      </w:pPr>
    </w:p>
    <w:p w14:paraId="0F5F5CFD" w14:textId="587F19B8" w:rsidR="00376AD5" w:rsidRPr="00C07FBE" w:rsidRDefault="00376AD5" w:rsidP="00376AD5">
      <w:pPr>
        <w:spacing w:before="120" w:after="120"/>
        <w:rPr>
          <w:rFonts w:ascii="Arial" w:hAnsi="Arial" w:cs="Arial"/>
        </w:rPr>
      </w:pPr>
      <w:r w:rsidRPr="00376AD5">
        <w:rPr>
          <w:rFonts w:ascii="Arial" w:eastAsia="Times New Roman" w:hAnsi="Arial" w:cs="Arial"/>
          <w:b/>
          <w:bCs/>
          <w:kern w:val="0"/>
          <w:lang w:eastAsia="en-GB"/>
          <w14:ligatures w14:val="none"/>
        </w:rPr>
        <w:t>Methods:</w:t>
      </w:r>
      <w:r>
        <w:rPr>
          <w:rFonts w:ascii="Arial" w:eastAsia="Times New Roman" w:hAnsi="Arial" w:cs="Arial"/>
          <w:kern w:val="0"/>
          <w:lang w:eastAsia="en-GB"/>
          <w14:ligatures w14:val="none"/>
        </w:rPr>
        <w:t xml:space="preserve">  </w:t>
      </w:r>
      <w:r w:rsidRPr="00C07FBE">
        <w:rPr>
          <w:rFonts w:ascii="Arial" w:eastAsia="Times New Roman" w:hAnsi="Arial" w:cs="Arial"/>
          <w:kern w:val="0"/>
          <w:lang w:eastAsia="en-GB"/>
          <w14:ligatures w14:val="none"/>
        </w:rPr>
        <w:t>The DAP+ podiatrist completed a district</w:t>
      </w:r>
      <w:r w:rsidRPr="00C07FBE">
        <w:rPr>
          <w:rFonts w:ascii="Arial" w:eastAsia="Times New Roman" w:hAnsi="Arial" w:cs="Arial"/>
          <w:kern w:val="0"/>
          <w:lang w:eastAsia="en-GB"/>
          <w14:ligatures w14:val="none"/>
        </w:rPr>
        <w:noBreakHyphen/>
        <w:t>wide needs assessment to identify workforce, service and connectivity gaps that a central senior role could address. Priorities included rural high</w:t>
      </w:r>
      <w:r w:rsidRPr="00C07FBE">
        <w:rPr>
          <w:rFonts w:ascii="Arial" w:eastAsia="Times New Roman" w:hAnsi="Arial" w:cs="Arial"/>
          <w:kern w:val="0"/>
          <w:lang w:eastAsia="en-GB"/>
          <w14:ligatures w14:val="none"/>
        </w:rPr>
        <w:noBreakHyphen/>
        <w:t>risk foot service redesign, peer support, and education across public and private podiatrists. To respond, the DAP+ podiatrist established a bi</w:t>
      </w:r>
      <w:r w:rsidRPr="00C07FBE">
        <w:rPr>
          <w:rFonts w:ascii="Arial" w:eastAsia="Times New Roman" w:hAnsi="Arial" w:cs="Arial"/>
          <w:kern w:val="0"/>
          <w:lang w:eastAsia="en-GB"/>
          <w14:ligatures w14:val="none"/>
        </w:rPr>
        <w:noBreakHyphen/>
        <w:t>monthly Diabetes Lower Limb Community of Practice (CoP), supported redesign of an established regional service, and co</w:t>
      </w:r>
      <w:r w:rsidRPr="00C07FBE">
        <w:rPr>
          <w:rFonts w:ascii="Arial" w:eastAsia="Times New Roman" w:hAnsi="Arial" w:cs="Arial"/>
          <w:kern w:val="0"/>
          <w:lang w:eastAsia="en-GB"/>
          <w14:ligatures w14:val="none"/>
        </w:rPr>
        <w:noBreakHyphen/>
        <w:t xml:space="preserve">developed a </w:t>
      </w:r>
      <w:proofErr w:type="spellStart"/>
      <w:r w:rsidRPr="00C07FBE">
        <w:rPr>
          <w:rFonts w:ascii="Arial" w:eastAsia="Times New Roman" w:hAnsi="Arial" w:cs="Arial"/>
          <w:kern w:val="0"/>
          <w:lang w:eastAsia="en-GB"/>
          <w14:ligatures w14:val="none"/>
        </w:rPr>
        <w:t>MediBus</w:t>
      </w:r>
      <w:proofErr w:type="spellEnd"/>
      <w:r w:rsidRPr="00C07FBE">
        <w:rPr>
          <w:rFonts w:ascii="Arial" w:eastAsia="Times New Roman" w:hAnsi="Arial" w:cs="Arial"/>
          <w:kern w:val="0"/>
          <w:lang w:eastAsia="en-GB"/>
          <w14:ligatures w14:val="none"/>
        </w:rPr>
        <w:t xml:space="preserve"> model providing rural generalist intervention, mentoring and real</w:t>
      </w:r>
      <w:r w:rsidRPr="00C07FBE">
        <w:rPr>
          <w:rFonts w:ascii="Arial" w:eastAsia="Times New Roman" w:hAnsi="Arial" w:cs="Arial"/>
          <w:kern w:val="0"/>
          <w:lang w:eastAsia="en-GB"/>
          <w14:ligatures w14:val="none"/>
        </w:rPr>
        <w:noBreakHyphen/>
        <w:t>time clinical support across geographically dispersed sites to strengthen pathways and improve multidisciplinary collaboration.</w:t>
      </w:r>
    </w:p>
    <w:p w14:paraId="4271DA11" w14:textId="3FE085EE" w:rsidR="00376AD5" w:rsidRDefault="00376AD5" w:rsidP="00376AD5"/>
    <w:p w14:paraId="7885B83C" w14:textId="0B9FBE55" w:rsidR="00376AD5" w:rsidRDefault="00376AD5" w:rsidP="00376AD5">
      <w:pPr>
        <w:rPr>
          <w:rFonts w:ascii="Arial" w:eastAsia="Times New Roman" w:hAnsi="Arial" w:cs="Arial"/>
          <w:kern w:val="0"/>
          <w:lang w:eastAsia="en-GB"/>
          <w14:ligatures w14:val="none"/>
        </w:rPr>
      </w:pPr>
      <w:r w:rsidRPr="00376AD5">
        <w:rPr>
          <w:b/>
          <w:bCs/>
        </w:rPr>
        <w:t>Results:</w:t>
      </w:r>
      <w:r>
        <w:t xml:space="preserve">  </w:t>
      </w:r>
      <w:r w:rsidRPr="00C07FBE">
        <w:rPr>
          <w:rFonts w:ascii="Arial" w:eastAsia="Times New Roman" w:hAnsi="Arial" w:cs="Arial"/>
          <w:kern w:val="0"/>
          <w:lang w:eastAsia="en-GB"/>
          <w14:ligatures w14:val="none"/>
        </w:rPr>
        <w:t xml:space="preserve">From June–December 2025, the </w:t>
      </w:r>
      <w:proofErr w:type="spellStart"/>
      <w:r w:rsidRPr="00C07FBE">
        <w:rPr>
          <w:rFonts w:ascii="Arial" w:eastAsia="Times New Roman" w:hAnsi="Arial" w:cs="Arial"/>
          <w:kern w:val="0"/>
          <w:lang w:eastAsia="en-GB"/>
          <w14:ligatures w14:val="none"/>
        </w:rPr>
        <w:t>MediBus</w:t>
      </w:r>
      <w:proofErr w:type="spellEnd"/>
      <w:r w:rsidRPr="00C07FBE">
        <w:rPr>
          <w:rFonts w:ascii="Arial" w:eastAsia="Times New Roman" w:hAnsi="Arial" w:cs="Arial"/>
          <w:kern w:val="0"/>
          <w:lang w:eastAsia="en-GB"/>
          <w14:ligatures w14:val="none"/>
        </w:rPr>
        <w:t xml:space="preserve"> team visited nine regional and rural locations, delivering podiatric assessment to 70 patients, most experiencing geographic disadvantage. Service redesign resulted in a standalone regional high</w:t>
      </w:r>
      <w:r w:rsidRPr="00C07FBE">
        <w:rPr>
          <w:rFonts w:ascii="Arial" w:eastAsia="Times New Roman" w:hAnsi="Arial" w:cs="Arial"/>
          <w:kern w:val="0"/>
          <w:lang w:eastAsia="en-GB"/>
          <w14:ligatures w14:val="none"/>
        </w:rPr>
        <w:noBreakHyphen/>
        <w:t>risk foot clinic with strengthened local capability. The CoP engaged over 85 clinicians, improving access to specialist support, reducing isolation and strengthening collaboration and clinical confidence.</w:t>
      </w:r>
    </w:p>
    <w:p w14:paraId="771CA909" w14:textId="77777777" w:rsidR="00376AD5" w:rsidRPr="00376AD5" w:rsidRDefault="00376AD5" w:rsidP="00376AD5">
      <w:pPr>
        <w:rPr>
          <w:rFonts w:ascii="Arial" w:eastAsia="Times New Roman" w:hAnsi="Arial" w:cs="Arial"/>
          <w:b/>
          <w:bCs/>
          <w:kern w:val="0"/>
          <w:lang w:eastAsia="en-GB"/>
          <w14:ligatures w14:val="none"/>
        </w:rPr>
      </w:pPr>
    </w:p>
    <w:p w14:paraId="51E00705" w14:textId="269B4E90" w:rsidR="00376AD5" w:rsidRPr="00376AD5" w:rsidRDefault="00376AD5" w:rsidP="00376AD5">
      <w:r w:rsidRPr="00376AD5">
        <w:rPr>
          <w:rFonts w:ascii="Arial" w:eastAsia="Times New Roman" w:hAnsi="Arial" w:cs="Arial"/>
          <w:b/>
          <w:bCs/>
          <w:kern w:val="0"/>
          <w:lang w:eastAsia="en-GB"/>
          <w14:ligatures w14:val="none"/>
        </w:rPr>
        <w:t>Discussion/Conclusion:</w:t>
      </w:r>
      <w:r>
        <w:rPr>
          <w:rFonts w:ascii="Arial" w:eastAsia="Times New Roman" w:hAnsi="Arial" w:cs="Arial"/>
          <w:kern w:val="0"/>
          <w:lang w:eastAsia="en-GB"/>
          <w14:ligatures w14:val="none"/>
        </w:rPr>
        <w:t xml:space="preserve">  </w:t>
      </w:r>
      <w:r w:rsidRPr="00C07FBE">
        <w:rPr>
          <w:rFonts w:ascii="Arial" w:eastAsia="Times New Roman" w:hAnsi="Arial" w:cs="Arial"/>
          <w:kern w:val="0"/>
          <w:lang w:eastAsia="en-GB"/>
          <w14:ligatures w14:val="none"/>
        </w:rPr>
        <w:t>The DAP+ model demonstrates the value of senior podiatry leadership in outreach, capability building and service integration. Protected time for senior podiatrists to mentor rural clinicians and coordinate system</w:t>
      </w:r>
      <w:r w:rsidRPr="00C07FBE">
        <w:rPr>
          <w:rFonts w:ascii="Arial" w:eastAsia="Times New Roman" w:hAnsi="Arial" w:cs="Arial"/>
          <w:kern w:val="0"/>
          <w:lang w:eastAsia="en-GB"/>
          <w14:ligatures w14:val="none"/>
        </w:rPr>
        <w:noBreakHyphen/>
        <w:t>wide improvements is essential to advancing foot health equity and sustaining the rural workforce.</w:t>
      </w:r>
    </w:p>
    <w:sectPr w:rsidR="00376AD5" w:rsidRPr="00376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D5"/>
    <w:rsid w:val="00376AD5"/>
    <w:rsid w:val="00632A41"/>
    <w:rsid w:val="007C296B"/>
    <w:rsid w:val="00AB56AF"/>
    <w:rsid w:val="00BC41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662B"/>
  <w15:chartTrackingRefBased/>
  <w15:docId w15:val="{AB4AC3B8-B88A-40C5-9462-1591410F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A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A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6AD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6AD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6AD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6AD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6AD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A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A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A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6A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6A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6A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6A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6A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6A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A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A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6A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6AD5"/>
    <w:rPr>
      <w:i/>
      <w:iCs/>
      <w:color w:val="404040" w:themeColor="text1" w:themeTint="BF"/>
    </w:rPr>
  </w:style>
  <w:style w:type="paragraph" w:styleId="ListParagraph">
    <w:name w:val="List Paragraph"/>
    <w:basedOn w:val="Normal"/>
    <w:uiPriority w:val="34"/>
    <w:qFormat/>
    <w:rsid w:val="00376AD5"/>
    <w:pPr>
      <w:ind w:left="720"/>
      <w:contextualSpacing/>
    </w:pPr>
  </w:style>
  <w:style w:type="character" w:styleId="IntenseEmphasis">
    <w:name w:val="Intense Emphasis"/>
    <w:basedOn w:val="DefaultParagraphFont"/>
    <w:uiPriority w:val="21"/>
    <w:qFormat/>
    <w:rsid w:val="00376AD5"/>
    <w:rPr>
      <w:i/>
      <w:iCs/>
      <w:color w:val="0F4761" w:themeColor="accent1" w:themeShade="BF"/>
    </w:rPr>
  </w:style>
  <w:style w:type="paragraph" w:styleId="IntenseQuote">
    <w:name w:val="Intense Quote"/>
    <w:basedOn w:val="Normal"/>
    <w:next w:val="Normal"/>
    <w:link w:val="IntenseQuoteChar"/>
    <w:uiPriority w:val="30"/>
    <w:qFormat/>
    <w:rsid w:val="00376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AD5"/>
    <w:rPr>
      <w:i/>
      <w:iCs/>
      <w:color w:val="0F4761" w:themeColor="accent1" w:themeShade="BF"/>
    </w:rPr>
  </w:style>
  <w:style w:type="character" w:styleId="IntenseReference">
    <w:name w:val="Intense Reference"/>
    <w:basedOn w:val="DefaultParagraphFont"/>
    <w:uiPriority w:val="32"/>
    <w:qFormat/>
    <w:rsid w:val="00376AD5"/>
    <w:rPr>
      <w:b/>
      <w:bCs/>
      <w:smallCaps/>
      <w:color w:val="0F4761" w:themeColor="accent1" w:themeShade="BF"/>
      <w:spacing w:val="5"/>
    </w:rPr>
  </w:style>
  <w:style w:type="table" w:styleId="TableGrid">
    <w:name w:val="Table Grid"/>
    <w:basedOn w:val="TableNormal"/>
    <w:uiPriority w:val="39"/>
    <w:rsid w:val="00376AD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4703BD-3177-4178-AC7D-E456BBBDD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E4B1B-B8B1-4FD8-A031-A89A22A47380}">
  <ds:schemaRefs>
    <ds:schemaRef ds:uri="http://schemas.microsoft.com/sharepoint/v3/contenttype/forms"/>
  </ds:schemaRefs>
</ds:datastoreItem>
</file>

<file path=customXml/itemProps3.xml><?xml version="1.0" encoding="utf-8"?>
<ds:datastoreItem xmlns:ds="http://schemas.openxmlformats.org/officeDocument/2006/customXml" ds:itemID="{E680F3CD-6432-4C75-9A3A-D36470F5034E}">
  <ds:schemaRefs>
    <ds:schemaRef ds:uri="http://schemas.microsoft.com/office/2006/documentManagement/types"/>
    <ds:schemaRef ds:uri="http://purl.org/dc/terms/"/>
    <ds:schemaRef ds:uri="6911e96c-4cc4-42d5-8e43-f93924cf6a05"/>
    <ds:schemaRef ds:uri="http://purl.org/dc/dcmitype/"/>
    <ds:schemaRef ds:uri="http://purl.org/dc/elements/1.1/"/>
    <ds:schemaRef ds:uri="http://schemas.microsoft.com/office/infopath/2007/PartnerControls"/>
    <ds:schemaRef ds:uri="http://schemas.openxmlformats.org/package/2006/metadata/core-properties"/>
    <ds:schemaRef ds:uri="cab52c9b-ab33-4221-8af9-54f8f2b86a80"/>
    <ds:schemaRef ds:uri="9c8a2b7b-0bee-4c48-b0a6-23db8982d3b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Yandall</dc:creator>
  <cp:keywords/>
  <dc:description/>
  <cp:lastModifiedBy>Tanya Yandall</cp:lastModifiedBy>
  <cp:revision>1</cp:revision>
  <dcterms:created xsi:type="dcterms:W3CDTF">2026-03-15T23:17:00Z</dcterms:created>
  <dcterms:modified xsi:type="dcterms:W3CDTF">2026-03-15T23:20:00Z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