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0C10" w14:textId="25F2CC0F" w:rsidR="002D1AC0" w:rsidRDefault="7A54679D" w:rsidP="10BDA679">
      <w:pPr>
        <w:spacing w:after="120"/>
        <w:rPr>
          <w:rFonts w:ascii="Arial" w:eastAsia="Arial" w:hAnsi="Arial" w:cs="Arial"/>
          <w:lang w:val="en-GB"/>
        </w:rPr>
      </w:pPr>
      <w:r w:rsidRPr="10BDA679">
        <w:rPr>
          <w:rFonts w:ascii="Arial" w:hAnsi="Arial" w:cs="Arial"/>
          <w:b/>
          <w:bCs/>
          <w:lang w:val="en-GB"/>
        </w:rPr>
        <w:t xml:space="preserve">Title: </w:t>
      </w:r>
    </w:p>
    <w:p w14:paraId="50132B2C" w14:textId="4C2F0BBE" w:rsidR="002D1AC0" w:rsidRDefault="2C8E317A" w:rsidP="1F3AEC62">
      <w:pPr>
        <w:rPr>
          <w:rFonts w:ascii="Arial" w:eastAsia="Arial" w:hAnsi="Arial" w:cs="Arial"/>
          <w:lang w:val="en-GB"/>
        </w:rPr>
      </w:pPr>
      <w:r w:rsidRPr="10BDA679">
        <w:rPr>
          <w:rFonts w:ascii="Arial" w:eastAsia="Arial" w:hAnsi="Arial" w:cs="Arial"/>
          <w:color w:val="000000" w:themeColor="text1"/>
          <w:lang w:val="en-US"/>
        </w:rPr>
        <w:t xml:space="preserve">Cost-effectiveness of multidisciplinary preoperative diabetes care versus usual care in </w:t>
      </w:r>
      <w:r w:rsidR="5D26C71C" w:rsidRPr="10BDA679">
        <w:rPr>
          <w:rFonts w:ascii="Arial" w:eastAsia="Arial" w:hAnsi="Arial" w:cs="Arial"/>
          <w:color w:val="000000" w:themeColor="text1"/>
          <w:lang w:val="en-US"/>
        </w:rPr>
        <w:t xml:space="preserve">adults </w:t>
      </w:r>
      <w:r w:rsidRPr="10BDA679">
        <w:rPr>
          <w:rFonts w:ascii="Arial" w:eastAsia="Arial" w:hAnsi="Arial" w:cs="Arial"/>
          <w:color w:val="000000" w:themeColor="text1"/>
          <w:lang w:val="en-US"/>
        </w:rPr>
        <w:t>undergoing elective noncardiac surgery</w:t>
      </w:r>
      <w:r w:rsidRPr="10BDA679">
        <w:rPr>
          <w:rFonts w:ascii="Arial" w:eastAsia="Arial" w:hAnsi="Arial" w:cs="Arial"/>
          <w:color w:val="000000" w:themeColor="text1"/>
          <w:lang w:val="en-AU"/>
        </w:rPr>
        <w:t>.</w:t>
      </w:r>
    </w:p>
    <w:p w14:paraId="79776B6F" w14:textId="5653F212" w:rsidR="002D1AC0" w:rsidRDefault="002D1AC0" w:rsidP="1F3AEC62">
      <w:pPr>
        <w:rPr>
          <w:rFonts w:ascii="Arial" w:hAnsi="Arial" w:cs="Arial"/>
          <w:b/>
          <w:bCs/>
          <w:lang w:val="en-GB"/>
        </w:rPr>
      </w:pPr>
    </w:p>
    <w:p w14:paraId="1F316483" w14:textId="1077E4A8" w:rsidR="7A54679D" w:rsidRDefault="7A54679D" w:rsidP="1F3AEC62">
      <w:pPr>
        <w:spacing w:line="480" w:lineRule="auto"/>
        <w:rPr>
          <w:rFonts w:ascii="Arial" w:eastAsia="Arial" w:hAnsi="Arial" w:cs="Arial"/>
          <w:lang w:val="en-GB"/>
        </w:rPr>
      </w:pPr>
      <w:r w:rsidRPr="1F3AEC62">
        <w:rPr>
          <w:rFonts w:ascii="Arial" w:hAnsi="Arial" w:cs="Arial"/>
          <w:b/>
          <w:bCs/>
          <w:lang w:val="en-GB"/>
        </w:rPr>
        <w:t>Background &amp; Aim:</w:t>
      </w:r>
      <w:r w:rsidRPr="1F3AEC62">
        <w:rPr>
          <w:rFonts w:ascii="Arial" w:hAnsi="Arial" w:cs="Arial"/>
          <w:lang w:val="en-GB"/>
        </w:rPr>
        <w:t xml:space="preserve"> </w:t>
      </w:r>
    </w:p>
    <w:p w14:paraId="23F21B07" w14:textId="55B1C1C8" w:rsidR="2FCFE559" w:rsidRPr="006172F4" w:rsidRDefault="2FCFE559" w:rsidP="10BDA679">
      <w:pPr>
        <w:spacing w:after="120"/>
        <w:rPr>
          <w:rFonts w:ascii="Arial" w:eastAsiaTheme="minorEastAsia" w:hAnsi="Arial" w:cs="Arial"/>
          <w:color w:val="000000" w:themeColor="text1"/>
          <w:lang w:val="en-AU"/>
        </w:rPr>
      </w:pPr>
      <w:r w:rsidRPr="006172F4">
        <w:rPr>
          <w:rFonts w:ascii="Arial" w:eastAsia="Arial" w:hAnsi="Arial" w:cs="Arial"/>
          <w:color w:val="000000" w:themeColor="text1"/>
          <w:lang w:val="en-AU"/>
        </w:rPr>
        <w:t xml:space="preserve">Perioperative hyperglycaemia </w:t>
      </w:r>
      <w:r w:rsidR="7D01D4C2" w:rsidRPr="006172F4">
        <w:rPr>
          <w:rFonts w:ascii="Arial" w:eastAsia="Arial" w:hAnsi="Arial" w:cs="Arial"/>
          <w:color w:val="000000" w:themeColor="text1"/>
          <w:lang w:val="en-AU"/>
        </w:rPr>
        <w:t>adversely affects postoperative outcomes</w:t>
      </w:r>
      <w:r w:rsidRPr="006172F4">
        <w:rPr>
          <w:rFonts w:ascii="Arial" w:eastAsia="Arial" w:hAnsi="Arial" w:cs="Arial"/>
          <w:color w:val="000000" w:themeColor="text1"/>
          <w:lang w:val="en-AU"/>
        </w:rPr>
        <w:t>,</w:t>
      </w:r>
      <w:r w:rsidR="6C2C5652" w:rsidRPr="006172F4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Pr="006172F4">
        <w:rPr>
          <w:rFonts w:ascii="Arial" w:eastAsia="Arial" w:hAnsi="Arial" w:cs="Arial"/>
          <w:color w:val="000000" w:themeColor="text1"/>
          <w:lang w:val="en-AU"/>
        </w:rPr>
        <w:t xml:space="preserve">yet economic </w:t>
      </w:r>
      <w:r w:rsidR="30E3FA27" w:rsidRPr="006172F4">
        <w:rPr>
          <w:rFonts w:ascii="Arial" w:eastAsia="Arial" w:hAnsi="Arial" w:cs="Arial"/>
          <w:color w:val="000000" w:themeColor="text1"/>
          <w:lang w:val="en-AU"/>
        </w:rPr>
        <w:t xml:space="preserve">evidence supporting </w:t>
      </w:r>
      <w:r w:rsidRPr="006172F4">
        <w:rPr>
          <w:rFonts w:ascii="Arial" w:eastAsia="Arial" w:hAnsi="Arial" w:cs="Arial"/>
          <w:color w:val="000000" w:themeColor="text1"/>
          <w:lang w:val="en-AU"/>
        </w:rPr>
        <w:t xml:space="preserve">interventions to </w:t>
      </w:r>
      <w:r w:rsidR="3148826C" w:rsidRPr="006172F4">
        <w:rPr>
          <w:rFonts w:ascii="Arial" w:eastAsia="Arial" w:hAnsi="Arial" w:cs="Arial"/>
          <w:color w:val="000000" w:themeColor="text1"/>
          <w:lang w:val="en-AU"/>
        </w:rPr>
        <w:t xml:space="preserve">improve </w:t>
      </w:r>
      <w:r w:rsidRPr="006172F4">
        <w:rPr>
          <w:rFonts w:ascii="Arial" w:eastAsia="Arial" w:hAnsi="Arial" w:cs="Arial"/>
          <w:color w:val="000000" w:themeColor="text1"/>
          <w:lang w:val="en-AU"/>
        </w:rPr>
        <w:t xml:space="preserve">perioperative blood glucose management </w:t>
      </w:r>
      <w:r w:rsidR="51C5B0CF" w:rsidRPr="006172F4">
        <w:rPr>
          <w:rFonts w:ascii="Arial" w:eastAsia="Arial" w:hAnsi="Arial" w:cs="Arial"/>
          <w:color w:val="000000" w:themeColor="text1"/>
          <w:lang w:val="en-AU"/>
        </w:rPr>
        <w:t xml:space="preserve">is </w:t>
      </w:r>
      <w:r w:rsidRPr="006172F4">
        <w:rPr>
          <w:rFonts w:ascii="Arial" w:eastAsia="Arial" w:hAnsi="Arial" w:cs="Arial"/>
          <w:color w:val="000000" w:themeColor="text1"/>
          <w:lang w:val="en-AU"/>
        </w:rPr>
        <w:t>lacking. This study</w:t>
      </w:r>
      <w:r w:rsidRPr="006172F4">
        <w:rPr>
          <w:rFonts w:ascii="Arial" w:eastAsiaTheme="minorEastAsia" w:hAnsi="Arial" w:cs="Arial"/>
          <w:color w:val="000000" w:themeColor="text1"/>
          <w:lang w:val="en-AU"/>
        </w:rPr>
        <w:t xml:space="preserve"> a</w:t>
      </w:r>
      <w:r w:rsidR="7DF0D61A" w:rsidRPr="006172F4">
        <w:rPr>
          <w:rFonts w:ascii="Arial" w:eastAsiaTheme="minorEastAsia" w:hAnsi="Arial" w:cs="Arial"/>
          <w:color w:val="000000" w:themeColor="text1"/>
          <w:lang w:val="en-AU"/>
        </w:rPr>
        <w:t>imed to assess</w:t>
      </w:r>
      <w:r w:rsidR="5B601292" w:rsidRPr="006172F4">
        <w:rPr>
          <w:rFonts w:ascii="Arial" w:eastAsiaTheme="minorEastAsia" w:hAnsi="Arial" w:cs="Arial"/>
          <w:color w:val="000000" w:themeColor="text1"/>
          <w:lang w:val="en-AU"/>
        </w:rPr>
        <w:t xml:space="preserve"> the healthcare costs</w:t>
      </w:r>
      <w:r w:rsidR="4334D1D4" w:rsidRPr="006172F4">
        <w:rPr>
          <w:rFonts w:ascii="Arial" w:eastAsiaTheme="minorEastAsia" w:hAnsi="Arial" w:cs="Arial"/>
          <w:color w:val="000000" w:themeColor="text1"/>
          <w:lang w:val="en-AU"/>
        </w:rPr>
        <w:t xml:space="preserve"> and outcomes</w:t>
      </w:r>
      <w:r w:rsidR="5B601292" w:rsidRPr="006172F4">
        <w:rPr>
          <w:rFonts w:ascii="Arial" w:eastAsiaTheme="minorEastAsia" w:hAnsi="Arial" w:cs="Arial"/>
          <w:color w:val="000000" w:themeColor="text1"/>
          <w:lang w:val="en-AU"/>
        </w:rPr>
        <w:t xml:space="preserve"> associated with a multidisciplinary preoperative diabetes service and c</w:t>
      </w:r>
      <w:r w:rsidR="2CC68C94" w:rsidRPr="006172F4">
        <w:rPr>
          <w:rFonts w:ascii="Arial" w:eastAsiaTheme="minorEastAsia" w:hAnsi="Arial" w:cs="Arial"/>
          <w:color w:val="000000" w:themeColor="text1"/>
          <w:lang w:val="en-AU"/>
        </w:rPr>
        <w:t xml:space="preserve">ompare </w:t>
      </w:r>
      <w:r w:rsidR="5B601292" w:rsidRPr="006172F4">
        <w:rPr>
          <w:rFonts w:ascii="Arial" w:eastAsiaTheme="minorEastAsia" w:hAnsi="Arial" w:cs="Arial"/>
          <w:color w:val="000000" w:themeColor="text1"/>
          <w:lang w:val="en-AU"/>
        </w:rPr>
        <w:t>its cost-effectiveness with usual care in adults with diabetes undergoing elective noncardiac surgery.</w:t>
      </w:r>
    </w:p>
    <w:p w14:paraId="061ABEE6" w14:textId="667A9E76" w:rsidR="002D1AC0" w:rsidRPr="002D1AC0" w:rsidRDefault="7A54679D" w:rsidP="002D1AC0">
      <w:pPr>
        <w:rPr>
          <w:rFonts w:ascii="Arial" w:hAnsi="Arial" w:cs="Arial"/>
          <w:lang w:val="en-GB"/>
        </w:rPr>
      </w:pPr>
      <w:r w:rsidRPr="1F3AEC62">
        <w:rPr>
          <w:rFonts w:ascii="Arial" w:hAnsi="Arial" w:cs="Arial"/>
          <w:b/>
          <w:bCs/>
          <w:lang w:val="en-GB"/>
        </w:rPr>
        <w:t>Methods:</w:t>
      </w:r>
      <w:r w:rsidRPr="1F3AEC62">
        <w:rPr>
          <w:rFonts w:ascii="Arial" w:hAnsi="Arial" w:cs="Arial"/>
          <w:lang w:val="en-GB"/>
        </w:rPr>
        <w:t xml:space="preserve"> </w:t>
      </w:r>
    </w:p>
    <w:p w14:paraId="461FA5FD" w14:textId="762F8A5D" w:rsidR="002D1AC0" w:rsidRDefault="7909C06A" w:rsidP="29CF322A">
      <w:pPr>
        <w:spacing w:after="120"/>
        <w:rPr>
          <w:rFonts w:ascii="Arial" w:eastAsia="Arial" w:hAnsi="Arial" w:cs="Arial"/>
          <w:lang w:val="en-GB"/>
        </w:rPr>
      </w:pPr>
      <w:r w:rsidRPr="29CF322A">
        <w:rPr>
          <w:rFonts w:ascii="Arial" w:eastAsia="Arial" w:hAnsi="Arial" w:cs="Arial"/>
          <w:color w:val="000000" w:themeColor="text1"/>
          <w:lang w:val="en-AU"/>
        </w:rPr>
        <w:t>An economic evaluation was conducted using data from a three-year</w:t>
      </w:r>
      <w:r w:rsidR="009A0146">
        <w:rPr>
          <w:rFonts w:ascii="Arial" w:eastAsia="Arial" w:hAnsi="Arial" w:cs="Arial"/>
          <w:color w:val="000000" w:themeColor="text1"/>
          <w:lang w:val="en-AU"/>
        </w:rPr>
        <w:t>,</w:t>
      </w:r>
      <w:r w:rsidRPr="29CF322A">
        <w:rPr>
          <w:rFonts w:ascii="Arial" w:eastAsia="Arial" w:hAnsi="Arial" w:cs="Arial"/>
          <w:color w:val="000000" w:themeColor="text1"/>
          <w:lang w:val="en-AU"/>
        </w:rPr>
        <w:t xml:space="preserve"> </w:t>
      </w:r>
      <w:bookmarkStart w:id="0" w:name="_Int_X6kfvsG6"/>
      <w:r w:rsidR="73C2FEA7" w:rsidRPr="29CF322A">
        <w:rPr>
          <w:rFonts w:ascii="Arial" w:eastAsia="Arial" w:hAnsi="Arial" w:cs="Arial"/>
          <w:color w:val="000000" w:themeColor="text1"/>
          <w:lang w:val="en-AU"/>
        </w:rPr>
        <w:t>prospective</w:t>
      </w:r>
      <w:bookmarkEnd w:id="0"/>
      <w:r w:rsidR="73C2FEA7" w:rsidRPr="29CF322A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Pr="29CF322A">
        <w:rPr>
          <w:rFonts w:ascii="Arial" w:eastAsia="Arial" w:hAnsi="Arial" w:cs="Arial"/>
          <w:color w:val="000000" w:themeColor="text1"/>
          <w:lang w:val="en-AU"/>
        </w:rPr>
        <w:t xml:space="preserve">interventional study involving adults with sub-optimally managed diabetes who were scheduled for elective surgery. Analysis was </w:t>
      </w:r>
      <w:r w:rsidR="6DB223D5" w:rsidRPr="29CF322A">
        <w:rPr>
          <w:rFonts w:ascii="Arial" w:eastAsia="Arial" w:hAnsi="Arial" w:cs="Arial"/>
          <w:color w:val="000000" w:themeColor="text1"/>
          <w:lang w:val="en-AU"/>
        </w:rPr>
        <w:t xml:space="preserve">conducted </w:t>
      </w:r>
      <w:r w:rsidRPr="29CF322A">
        <w:rPr>
          <w:rFonts w:ascii="Arial" w:eastAsia="Arial" w:hAnsi="Arial" w:cs="Arial"/>
          <w:color w:val="000000" w:themeColor="text1"/>
          <w:lang w:val="en-AU"/>
        </w:rPr>
        <w:t>from a healthcare institution perspective with a one-year time horizon. Healthcare costs and outcomes</w:t>
      </w:r>
      <w:r w:rsidR="410AD3D8" w:rsidRPr="29CF322A">
        <w:rPr>
          <w:rFonts w:ascii="Arial" w:eastAsia="Arial" w:hAnsi="Arial" w:cs="Arial"/>
          <w:color w:val="000000" w:themeColor="text1"/>
          <w:lang w:val="en-AU"/>
        </w:rPr>
        <w:t>,</w:t>
      </w:r>
      <w:r w:rsidRPr="29CF322A">
        <w:rPr>
          <w:rFonts w:ascii="Arial" w:eastAsia="Arial" w:hAnsi="Arial" w:cs="Arial"/>
          <w:color w:val="000000" w:themeColor="text1"/>
          <w:lang w:val="en-AU"/>
        </w:rPr>
        <w:t xml:space="preserve"> in terms of HbA</w:t>
      </w:r>
      <w:r w:rsidRPr="29CF322A">
        <w:rPr>
          <w:rFonts w:ascii="Arial" w:eastAsia="Arial" w:hAnsi="Arial" w:cs="Arial"/>
          <w:color w:val="000000" w:themeColor="text1"/>
          <w:vertAlign w:val="subscript"/>
          <w:lang w:val="en-AU"/>
        </w:rPr>
        <w:t>1c</w:t>
      </w:r>
      <w:r w:rsidRPr="29CF322A">
        <w:rPr>
          <w:rFonts w:ascii="Arial" w:eastAsia="Arial" w:hAnsi="Arial" w:cs="Arial"/>
          <w:color w:val="000000" w:themeColor="text1"/>
          <w:lang w:val="en-AU"/>
        </w:rPr>
        <w:t xml:space="preserve"> change and quality-adjusted life years (QALYs)</w:t>
      </w:r>
      <w:r w:rsidR="0F288A91" w:rsidRPr="29CF322A">
        <w:rPr>
          <w:rFonts w:ascii="Arial" w:eastAsia="Arial" w:hAnsi="Arial" w:cs="Arial"/>
          <w:color w:val="000000" w:themeColor="text1"/>
          <w:lang w:val="en-AU"/>
        </w:rPr>
        <w:t>,</w:t>
      </w:r>
      <w:r w:rsidRPr="29CF322A">
        <w:rPr>
          <w:rFonts w:ascii="Arial" w:eastAsia="Arial" w:hAnsi="Arial" w:cs="Arial"/>
          <w:color w:val="000000" w:themeColor="text1"/>
          <w:lang w:val="en-AU"/>
        </w:rPr>
        <w:t xml:space="preserve"> were compared between </w:t>
      </w:r>
      <w:r w:rsidR="72E79E8A" w:rsidRPr="29CF322A">
        <w:rPr>
          <w:rFonts w:ascii="Arial" w:eastAsia="Arial" w:hAnsi="Arial" w:cs="Arial"/>
          <w:color w:val="000000" w:themeColor="text1"/>
          <w:lang w:val="en-AU"/>
        </w:rPr>
        <w:t xml:space="preserve">an </w:t>
      </w:r>
      <w:r w:rsidRPr="29CF322A">
        <w:rPr>
          <w:rFonts w:ascii="Arial" w:eastAsia="Arial" w:hAnsi="Arial" w:cs="Arial"/>
          <w:color w:val="000000" w:themeColor="text1"/>
          <w:lang w:val="en-AU"/>
        </w:rPr>
        <w:t>intervention</w:t>
      </w:r>
      <w:r w:rsidR="63142DB1" w:rsidRPr="29CF322A">
        <w:rPr>
          <w:rFonts w:ascii="Arial" w:eastAsia="Arial" w:hAnsi="Arial" w:cs="Arial"/>
          <w:color w:val="000000" w:themeColor="text1"/>
          <w:lang w:val="en-AU"/>
        </w:rPr>
        <w:t xml:space="preserve"> arm </w:t>
      </w:r>
      <w:r w:rsidR="7A3B557F" w:rsidRPr="29CF322A">
        <w:rPr>
          <w:rFonts w:ascii="Arial" w:eastAsia="Arial" w:hAnsi="Arial" w:cs="Arial"/>
          <w:color w:val="000000" w:themeColor="text1"/>
          <w:lang w:val="en-AU"/>
        </w:rPr>
        <w:t xml:space="preserve">receiving </w:t>
      </w:r>
      <w:r w:rsidR="63142DB1" w:rsidRPr="29CF322A">
        <w:rPr>
          <w:rFonts w:ascii="Arial" w:eastAsia="Arial" w:hAnsi="Arial" w:cs="Arial"/>
          <w:color w:val="000000" w:themeColor="text1"/>
          <w:lang w:val="en-AU"/>
        </w:rPr>
        <w:t xml:space="preserve">multidisciplinary </w:t>
      </w:r>
      <w:r w:rsidR="262CE440" w:rsidRPr="29CF322A">
        <w:rPr>
          <w:rFonts w:ascii="Arial" w:eastAsia="Arial" w:hAnsi="Arial" w:cs="Arial"/>
          <w:color w:val="000000" w:themeColor="text1"/>
          <w:lang w:val="en-AU"/>
        </w:rPr>
        <w:t xml:space="preserve">preoperative </w:t>
      </w:r>
      <w:r w:rsidR="63142DB1" w:rsidRPr="29CF322A">
        <w:rPr>
          <w:rFonts w:ascii="Arial" w:eastAsia="Arial" w:hAnsi="Arial" w:cs="Arial"/>
          <w:color w:val="000000" w:themeColor="text1"/>
          <w:lang w:val="en-AU"/>
        </w:rPr>
        <w:t>diabetes input</w:t>
      </w:r>
      <w:r w:rsidRPr="29CF322A">
        <w:rPr>
          <w:rFonts w:ascii="Arial" w:eastAsia="Arial" w:hAnsi="Arial" w:cs="Arial"/>
          <w:color w:val="000000" w:themeColor="text1"/>
          <w:lang w:val="en-AU"/>
        </w:rPr>
        <w:t xml:space="preserve"> and a simulated usual</w:t>
      </w:r>
      <w:r w:rsidR="7C6CB037" w:rsidRPr="29CF322A">
        <w:rPr>
          <w:rFonts w:ascii="Arial" w:eastAsia="Arial" w:hAnsi="Arial" w:cs="Arial"/>
          <w:color w:val="000000" w:themeColor="text1"/>
          <w:lang w:val="en-AU"/>
        </w:rPr>
        <w:t>-</w:t>
      </w:r>
      <w:r w:rsidRPr="29CF322A">
        <w:rPr>
          <w:rFonts w:ascii="Arial" w:eastAsia="Arial" w:hAnsi="Arial" w:cs="Arial"/>
          <w:color w:val="000000" w:themeColor="text1"/>
          <w:lang w:val="en-AU"/>
        </w:rPr>
        <w:t xml:space="preserve">care arm. </w:t>
      </w:r>
      <w:r w:rsidRPr="29CF322A">
        <w:rPr>
          <w:rFonts w:ascii="Arial" w:eastAsia="Arial" w:hAnsi="Arial" w:cs="Arial"/>
          <w:lang w:val="en-GB"/>
        </w:rPr>
        <w:t xml:space="preserve"> </w:t>
      </w:r>
    </w:p>
    <w:p w14:paraId="0DCB4931" w14:textId="0A1BC5A9" w:rsidR="002D1AC0" w:rsidRPr="002D1AC0" w:rsidRDefault="7A54679D" w:rsidP="002D1AC0">
      <w:pPr>
        <w:rPr>
          <w:rFonts w:ascii="Arial" w:hAnsi="Arial" w:cs="Arial"/>
          <w:lang w:val="en-GB"/>
        </w:rPr>
      </w:pPr>
      <w:r w:rsidRPr="1F3AEC62">
        <w:rPr>
          <w:rFonts w:ascii="Arial" w:hAnsi="Arial" w:cs="Arial"/>
          <w:b/>
          <w:bCs/>
          <w:lang w:val="en-GB"/>
        </w:rPr>
        <w:t>Results:</w:t>
      </w:r>
      <w:r w:rsidRPr="1F3AEC62">
        <w:rPr>
          <w:rFonts w:ascii="Arial" w:hAnsi="Arial" w:cs="Arial"/>
          <w:lang w:val="en-GB"/>
        </w:rPr>
        <w:t xml:space="preserve"> </w:t>
      </w:r>
    </w:p>
    <w:p w14:paraId="31D4F6A1" w14:textId="086E07CD" w:rsidR="3D624A8E" w:rsidRPr="009A0146" w:rsidRDefault="3D624A8E" w:rsidP="10BDA679">
      <w:pPr>
        <w:spacing w:after="120"/>
        <w:rPr>
          <w:rFonts w:ascii="Arial" w:eastAsiaTheme="minorEastAsia" w:hAnsi="Arial" w:cs="Arial"/>
          <w:color w:val="000000" w:themeColor="text1"/>
          <w:lang w:val="en-AU"/>
        </w:rPr>
      </w:pPr>
      <w:r w:rsidRPr="009A0146">
        <w:rPr>
          <w:rFonts w:ascii="Arial" w:eastAsia="Arial" w:hAnsi="Arial" w:cs="Arial"/>
          <w:color w:val="000000" w:themeColor="text1"/>
          <w:lang w:val="en-AU"/>
        </w:rPr>
        <w:t>The intervention</w:t>
      </w:r>
      <w:r w:rsidR="566761FE" w:rsidRPr="009A0146">
        <w:rPr>
          <w:rFonts w:ascii="Arial" w:eastAsia="Arial" w:hAnsi="Arial" w:cs="Arial"/>
          <w:color w:val="000000" w:themeColor="text1"/>
          <w:lang w:val="en-AU"/>
        </w:rPr>
        <w:t xml:space="preserve"> arm</w:t>
      </w:r>
      <w:r w:rsidRPr="009A0146">
        <w:rPr>
          <w:rFonts w:ascii="Arial" w:eastAsia="Arial" w:hAnsi="Arial" w:cs="Arial"/>
          <w:color w:val="000000" w:themeColor="text1"/>
          <w:lang w:val="en-AU"/>
        </w:rPr>
        <w:t xml:space="preserve"> achieved a 1.9%</w:t>
      </w:r>
      <w:r w:rsidR="6968A31E" w:rsidRPr="009A0146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Pr="009A0146">
        <w:rPr>
          <w:rFonts w:ascii="Arial" w:eastAsia="Arial" w:hAnsi="Arial" w:cs="Arial"/>
          <w:color w:val="000000" w:themeColor="text1"/>
          <w:lang w:val="en-AU"/>
        </w:rPr>
        <w:t>(95%</w:t>
      </w:r>
      <w:r w:rsidR="150B91B1" w:rsidRPr="009A0146">
        <w:rPr>
          <w:rFonts w:ascii="Arial" w:eastAsia="Arial" w:hAnsi="Arial" w:cs="Arial"/>
          <w:color w:val="000000" w:themeColor="text1"/>
          <w:lang w:val="en-AU"/>
        </w:rPr>
        <w:t xml:space="preserve"> CI</w:t>
      </w:r>
      <w:r w:rsidR="794DB1FC" w:rsidRPr="009A0146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Pr="009A0146">
        <w:rPr>
          <w:rFonts w:ascii="Arial" w:eastAsia="Arial" w:hAnsi="Arial" w:cs="Arial"/>
          <w:color w:val="000000" w:themeColor="text1"/>
          <w:lang w:val="en-AU"/>
        </w:rPr>
        <w:t>1.5</w:t>
      </w:r>
      <w:r w:rsidR="2CEBD4A6" w:rsidRPr="009A0146">
        <w:rPr>
          <w:rFonts w:ascii="Arial" w:eastAsia="Arial" w:hAnsi="Arial" w:cs="Arial"/>
          <w:color w:val="000000" w:themeColor="text1"/>
          <w:lang w:val="en-AU"/>
        </w:rPr>
        <w:t>-</w:t>
      </w:r>
      <w:r w:rsidRPr="009A0146">
        <w:rPr>
          <w:rFonts w:ascii="Arial" w:eastAsia="Arial" w:hAnsi="Arial" w:cs="Arial"/>
          <w:color w:val="000000" w:themeColor="text1"/>
          <w:lang w:val="en-AU"/>
        </w:rPr>
        <w:t xml:space="preserve">2.2) greater reduction in </w:t>
      </w:r>
      <w:r w:rsidR="1D18BA9E" w:rsidRPr="009A0146">
        <w:rPr>
          <w:rFonts w:ascii="Arial" w:eastAsia="Arial" w:hAnsi="Arial" w:cs="Arial"/>
          <w:color w:val="000000" w:themeColor="text1"/>
          <w:lang w:val="en-AU"/>
        </w:rPr>
        <w:t xml:space="preserve">preoperative </w:t>
      </w:r>
      <w:r w:rsidRPr="009A0146">
        <w:rPr>
          <w:rFonts w:ascii="Arial" w:eastAsiaTheme="minorEastAsia" w:hAnsi="Arial" w:cs="Arial"/>
          <w:color w:val="000000" w:themeColor="text1"/>
          <w:lang w:val="en-AU"/>
        </w:rPr>
        <w:t>HbA</w:t>
      </w:r>
      <w:r w:rsidRPr="009A0146">
        <w:rPr>
          <w:rFonts w:ascii="Arial" w:eastAsiaTheme="minorEastAsia" w:hAnsi="Arial" w:cs="Arial"/>
          <w:color w:val="000000" w:themeColor="text1"/>
          <w:vertAlign w:val="subscript"/>
          <w:lang w:val="en-AU"/>
        </w:rPr>
        <w:t xml:space="preserve">1c </w:t>
      </w:r>
      <w:r w:rsidRPr="009A0146">
        <w:rPr>
          <w:rFonts w:ascii="Arial" w:eastAsiaTheme="minorEastAsia" w:hAnsi="Arial" w:cs="Arial"/>
          <w:color w:val="000000" w:themeColor="text1"/>
          <w:lang w:val="en-AU"/>
        </w:rPr>
        <w:t>and 0.7</w:t>
      </w:r>
      <w:r w:rsidR="13D569F6"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 </w:t>
      </w:r>
      <w:r w:rsidR="5EB1059A" w:rsidRPr="009A0146">
        <w:rPr>
          <w:rFonts w:ascii="Arial" w:eastAsiaTheme="minorEastAsia" w:hAnsi="Arial" w:cs="Arial"/>
          <w:color w:val="000000" w:themeColor="text1"/>
          <w:lang w:val="en-AU"/>
        </w:rPr>
        <w:t>(95% CI 0.</w:t>
      </w:r>
      <w:r w:rsidR="35747F7C" w:rsidRPr="009A0146">
        <w:rPr>
          <w:rFonts w:ascii="Arial" w:eastAsiaTheme="minorEastAsia" w:hAnsi="Arial" w:cs="Arial"/>
          <w:color w:val="000000" w:themeColor="text1"/>
          <w:lang w:val="en-AU"/>
        </w:rPr>
        <w:t>5-</w:t>
      </w:r>
      <w:r w:rsidR="5EB1059A"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0.9) </w:t>
      </w:r>
      <w:r w:rsidR="080D07C5"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gain in </w:t>
      </w:r>
      <w:r w:rsidRPr="009A0146">
        <w:rPr>
          <w:rFonts w:ascii="Arial" w:eastAsiaTheme="minorEastAsia" w:hAnsi="Arial" w:cs="Arial"/>
          <w:color w:val="000000" w:themeColor="text1"/>
          <w:lang w:val="en-AU"/>
        </w:rPr>
        <w:t>QALY</w:t>
      </w:r>
      <w:r w:rsidR="26E20E45" w:rsidRPr="009A0146">
        <w:rPr>
          <w:rFonts w:ascii="Arial" w:eastAsiaTheme="minorEastAsia" w:hAnsi="Arial" w:cs="Arial"/>
          <w:color w:val="000000" w:themeColor="text1"/>
          <w:lang w:val="en-AU"/>
        </w:rPr>
        <w:t>s</w:t>
      </w:r>
      <w:r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 at an incremental cost of A$2602 per person. The incremental cost-effectiveness ratios (ICERs) were A$1369 per 1% </w:t>
      </w:r>
      <w:r w:rsidR="1F353BF6"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reduction in </w:t>
      </w:r>
      <w:r w:rsidRPr="009A0146">
        <w:rPr>
          <w:rFonts w:ascii="Arial" w:eastAsiaTheme="minorEastAsia" w:hAnsi="Arial" w:cs="Arial"/>
          <w:color w:val="000000" w:themeColor="text1"/>
          <w:lang w:val="en-AU"/>
        </w:rPr>
        <w:t>HbA</w:t>
      </w:r>
      <w:r w:rsidRPr="009A0146">
        <w:rPr>
          <w:rFonts w:ascii="Arial" w:eastAsiaTheme="minorEastAsia" w:hAnsi="Arial" w:cs="Arial"/>
          <w:color w:val="000000" w:themeColor="text1"/>
          <w:vertAlign w:val="subscript"/>
          <w:lang w:val="en-AU"/>
        </w:rPr>
        <w:t>1c</w:t>
      </w:r>
      <w:r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 and A$3690 per QALY. Sensitivity analyses </w:t>
      </w:r>
      <w:r w:rsidR="12AACCCE" w:rsidRPr="009A0146">
        <w:rPr>
          <w:rFonts w:ascii="Arial" w:eastAsiaTheme="minorEastAsia" w:hAnsi="Arial" w:cs="Arial"/>
          <w:color w:val="000000" w:themeColor="text1"/>
          <w:lang w:val="en-AU"/>
        </w:rPr>
        <w:t>indicated greater cost-effectiveness among individuals with higher baseline HbA</w:t>
      </w:r>
      <w:r w:rsidR="12AACCCE" w:rsidRPr="009A0146">
        <w:rPr>
          <w:rFonts w:ascii="Arial" w:eastAsiaTheme="minorEastAsia" w:hAnsi="Arial" w:cs="Arial"/>
          <w:color w:val="000000" w:themeColor="text1"/>
          <w:vertAlign w:val="subscript"/>
          <w:lang w:val="en-AU"/>
        </w:rPr>
        <w:t>1c</w:t>
      </w:r>
      <w:r w:rsidR="12AACCCE"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 levels, with diminishing cost-effectiveness a</w:t>
      </w:r>
      <w:r w:rsidR="1E45E3CF" w:rsidRPr="009A0146">
        <w:rPr>
          <w:rFonts w:ascii="Arial" w:eastAsiaTheme="minorEastAsia" w:hAnsi="Arial" w:cs="Arial"/>
          <w:color w:val="000000" w:themeColor="text1"/>
          <w:lang w:val="en-AU"/>
        </w:rPr>
        <w:t>s baseline HbA</w:t>
      </w:r>
      <w:r w:rsidR="1E45E3CF" w:rsidRPr="009A0146">
        <w:rPr>
          <w:rFonts w:ascii="Arial" w:eastAsiaTheme="minorEastAsia" w:hAnsi="Arial" w:cs="Arial"/>
          <w:color w:val="000000" w:themeColor="text1"/>
          <w:vertAlign w:val="subscript"/>
          <w:lang w:val="en-AU"/>
        </w:rPr>
        <w:t xml:space="preserve">1c </w:t>
      </w:r>
      <w:r w:rsidR="1E45E3CF" w:rsidRPr="009A0146">
        <w:rPr>
          <w:rFonts w:ascii="Arial" w:eastAsiaTheme="minorEastAsia" w:hAnsi="Arial" w:cs="Arial"/>
          <w:color w:val="000000" w:themeColor="text1"/>
          <w:lang w:val="en-AU"/>
        </w:rPr>
        <w:t>decreased,</w:t>
      </w:r>
      <w:r w:rsidR="12AACCCE"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 and notable uncertainty when baseline HbA</w:t>
      </w:r>
      <w:r w:rsidR="12AACCCE" w:rsidRPr="009A0146">
        <w:rPr>
          <w:rFonts w:ascii="Arial" w:eastAsiaTheme="minorEastAsia" w:hAnsi="Arial" w:cs="Arial"/>
          <w:color w:val="000000" w:themeColor="text1"/>
          <w:vertAlign w:val="subscript"/>
          <w:lang w:val="en-AU"/>
        </w:rPr>
        <w:t>1c</w:t>
      </w:r>
      <w:r w:rsidR="12AACCCE"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 </w:t>
      </w:r>
      <w:r w:rsidR="57EA2C08"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levels </w:t>
      </w:r>
      <w:r w:rsidR="12AACCCE" w:rsidRPr="009A0146">
        <w:rPr>
          <w:rFonts w:ascii="Arial" w:eastAsiaTheme="minorEastAsia" w:hAnsi="Arial" w:cs="Arial"/>
          <w:color w:val="000000" w:themeColor="text1"/>
          <w:lang w:val="en-AU"/>
        </w:rPr>
        <w:t>w</w:t>
      </w:r>
      <w:r w:rsidR="3E77BEDD"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ere </w:t>
      </w:r>
      <w:r w:rsidR="12AACCCE" w:rsidRPr="009A0146">
        <w:rPr>
          <w:rFonts w:ascii="Arial" w:eastAsiaTheme="minorEastAsia" w:hAnsi="Arial" w:cs="Arial"/>
          <w:color w:val="000000" w:themeColor="text1"/>
          <w:lang w:val="en-AU"/>
        </w:rPr>
        <w:t xml:space="preserve">below 8.0%. </w:t>
      </w:r>
    </w:p>
    <w:p w14:paraId="1AFC1D5B" w14:textId="43C4A200" w:rsidR="002D1AC0" w:rsidRPr="002D1AC0" w:rsidRDefault="7A54679D" w:rsidP="002D1AC0">
      <w:pPr>
        <w:rPr>
          <w:rFonts w:ascii="Arial" w:hAnsi="Arial" w:cs="Arial"/>
          <w:lang w:val="en-GB"/>
        </w:rPr>
      </w:pPr>
      <w:r w:rsidRPr="10BDA679">
        <w:rPr>
          <w:rFonts w:ascii="Arial" w:hAnsi="Arial" w:cs="Arial"/>
          <w:b/>
          <w:bCs/>
          <w:lang w:val="en-GB"/>
        </w:rPr>
        <w:t>Conclusion:</w:t>
      </w:r>
      <w:r w:rsidRPr="10BDA679">
        <w:rPr>
          <w:rFonts w:ascii="Arial" w:hAnsi="Arial" w:cs="Arial"/>
          <w:lang w:val="en-GB"/>
        </w:rPr>
        <w:t xml:space="preserve"> </w:t>
      </w:r>
    </w:p>
    <w:p w14:paraId="66FB9D22" w14:textId="168DA9E1" w:rsidR="00210143" w:rsidRDefault="43A2D526" w:rsidP="10BDA679">
      <w:pPr>
        <w:spacing w:after="120"/>
        <w:rPr>
          <w:rFonts w:ascii="Arial" w:eastAsia="Arial" w:hAnsi="Arial" w:cs="Arial"/>
          <w:color w:val="000000" w:themeColor="text1"/>
        </w:rPr>
      </w:pPr>
      <w:r w:rsidRPr="10BDA679">
        <w:rPr>
          <w:rFonts w:ascii="Arial" w:eastAsia="Arial" w:hAnsi="Arial" w:cs="Arial"/>
          <w:color w:val="000000" w:themeColor="text1"/>
          <w:lang w:val="en-AU"/>
        </w:rPr>
        <w:t xml:space="preserve">Compared with usual care, </w:t>
      </w:r>
      <w:r w:rsidR="418C8AC8" w:rsidRPr="10BDA679">
        <w:rPr>
          <w:rFonts w:ascii="Arial" w:eastAsia="Arial" w:hAnsi="Arial" w:cs="Arial"/>
          <w:color w:val="000000" w:themeColor="text1"/>
          <w:lang w:val="en-AU"/>
        </w:rPr>
        <w:t>a</w:t>
      </w:r>
      <w:r w:rsidRPr="10BDA679">
        <w:rPr>
          <w:rFonts w:ascii="Arial" w:eastAsia="Arial" w:hAnsi="Arial" w:cs="Arial"/>
          <w:color w:val="000000" w:themeColor="text1"/>
          <w:lang w:val="en-AU"/>
        </w:rPr>
        <w:t xml:space="preserve"> multidisciplinary </w:t>
      </w:r>
      <w:r w:rsidR="307A2DB2" w:rsidRPr="10BDA679">
        <w:rPr>
          <w:rFonts w:ascii="Arial" w:eastAsia="Arial" w:hAnsi="Arial" w:cs="Arial"/>
          <w:color w:val="000000" w:themeColor="text1"/>
          <w:lang w:val="en-AU"/>
        </w:rPr>
        <w:t xml:space="preserve">preoperative </w:t>
      </w:r>
      <w:r w:rsidRPr="10BDA679">
        <w:rPr>
          <w:rFonts w:ascii="Arial" w:eastAsia="Arial" w:hAnsi="Arial" w:cs="Arial"/>
          <w:color w:val="000000" w:themeColor="text1"/>
          <w:lang w:val="en-AU"/>
        </w:rPr>
        <w:t>diabetes service achieved greater preoperative improvements in glycaemic management and quality-adjusted life years</w:t>
      </w:r>
      <w:r w:rsidR="1056AD09" w:rsidRPr="10BDA679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="2B298BBF" w:rsidRPr="10BDA679">
        <w:rPr>
          <w:rFonts w:ascii="Arial" w:eastAsia="Arial" w:hAnsi="Arial" w:cs="Arial"/>
          <w:color w:val="000000" w:themeColor="text1"/>
          <w:lang w:val="en-AU"/>
        </w:rPr>
        <w:t>and</w:t>
      </w:r>
      <w:r w:rsidR="537E60E1" w:rsidRPr="10BDA679">
        <w:rPr>
          <w:rFonts w:ascii="Arial" w:eastAsia="Arial" w:hAnsi="Arial" w:cs="Arial"/>
          <w:color w:val="000000" w:themeColor="text1"/>
          <w:lang w:val="en-AU"/>
        </w:rPr>
        <w:t xml:space="preserve"> was </w:t>
      </w:r>
      <w:r w:rsidRPr="10BDA679">
        <w:rPr>
          <w:rFonts w:ascii="Arial" w:eastAsia="Arial" w:hAnsi="Arial" w:cs="Arial"/>
          <w:color w:val="000000" w:themeColor="text1"/>
          <w:lang w:val="en-AU"/>
        </w:rPr>
        <w:t>highly cost</w:t>
      </w:r>
      <w:r w:rsidR="05E5A86F" w:rsidRPr="10BDA679">
        <w:rPr>
          <w:rFonts w:ascii="Arial" w:eastAsia="Arial" w:hAnsi="Arial" w:cs="Arial"/>
          <w:color w:val="000000" w:themeColor="text1"/>
          <w:lang w:val="en-AU"/>
        </w:rPr>
        <w:t>-</w:t>
      </w:r>
      <w:r w:rsidRPr="10BDA679">
        <w:rPr>
          <w:rFonts w:ascii="Arial" w:eastAsia="Arial" w:hAnsi="Arial" w:cs="Arial"/>
          <w:color w:val="000000" w:themeColor="text1"/>
          <w:lang w:val="en-AU"/>
        </w:rPr>
        <w:t>effective from a healthcare institution perspective</w:t>
      </w:r>
      <w:r w:rsidR="1C30E116" w:rsidRPr="10BDA679">
        <w:rPr>
          <w:rFonts w:ascii="Arial" w:eastAsia="Arial" w:hAnsi="Arial" w:cs="Arial"/>
          <w:color w:val="000000" w:themeColor="text1"/>
          <w:lang w:val="en-AU"/>
        </w:rPr>
        <w:t>.</w:t>
      </w:r>
      <w:r w:rsidR="0D6A02BA" w:rsidRPr="10BDA679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="2073BB47" w:rsidRPr="10BDA679">
        <w:rPr>
          <w:rFonts w:ascii="Arial" w:eastAsia="Arial" w:hAnsi="Arial" w:cs="Arial"/>
          <w:color w:val="000000" w:themeColor="text1"/>
        </w:rPr>
        <w:t>This</w:t>
      </w:r>
      <w:r w:rsidR="78DF9FC9" w:rsidRPr="10BDA679">
        <w:rPr>
          <w:rFonts w:ascii="Arial" w:eastAsia="Arial" w:hAnsi="Arial" w:cs="Arial"/>
          <w:color w:val="000000" w:themeColor="text1"/>
        </w:rPr>
        <w:t xml:space="preserve"> study addressed an important gap in the literature by demonstrating </w:t>
      </w:r>
      <w:r w:rsidR="57E7059E" w:rsidRPr="10BDA679">
        <w:rPr>
          <w:rFonts w:ascii="Arial" w:eastAsia="Arial" w:hAnsi="Arial" w:cs="Arial"/>
          <w:color w:val="000000" w:themeColor="text1"/>
        </w:rPr>
        <w:t>it was</w:t>
      </w:r>
      <w:r w:rsidR="78DF9FC9" w:rsidRPr="10BDA679">
        <w:rPr>
          <w:rFonts w:ascii="Arial" w:eastAsia="Arial" w:hAnsi="Arial" w:cs="Arial"/>
          <w:color w:val="000000" w:themeColor="text1"/>
        </w:rPr>
        <w:t xml:space="preserve"> cost-effectiveness </w:t>
      </w:r>
      <w:r w:rsidR="2DC08482" w:rsidRPr="10BDA679">
        <w:rPr>
          <w:rFonts w:ascii="Arial" w:eastAsia="Arial" w:hAnsi="Arial" w:cs="Arial"/>
          <w:color w:val="000000" w:themeColor="text1"/>
        </w:rPr>
        <w:t xml:space="preserve">to operate </w:t>
      </w:r>
      <w:r w:rsidR="78DF9FC9" w:rsidRPr="10BDA679">
        <w:rPr>
          <w:rFonts w:ascii="Arial" w:eastAsia="Arial" w:hAnsi="Arial" w:cs="Arial"/>
          <w:color w:val="000000" w:themeColor="text1"/>
        </w:rPr>
        <w:t xml:space="preserve">a dedicated service focused on improving diabetes management in the perioperative </w:t>
      </w:r>
      <w:r w:rsidR="6E95F23D" w:rsidRPr="10BDA679">
        <w:rPr>
          <w:rFonts w:ascii="Arial" w:eastAsia="Arial" w:hAnsi="Arial" w:cs="Arial"/>
          <w:color w:val="000000" w:themeColor="text1"/>
        </w:rPr>
        <w:t>setting and</w:t>
      </w:r>
      <w:r w:rsidR="4BBDB20D" w:rsidRPr="10BDA679">
        <w:rPr>
          <w:rFonts w:ascii="Arial" w:eastAsia="Arial" w:hAnsi="Arial" w:cs="Arial"/>
          <w:color w:val="000000" w:themeColor="text1"/>
        </w:rPr>
        <w:t xml:space="preserve"> provides evidence </w:t>
      </w:r>
      <w:r w:rsidR="308BF84F" w:rsidRPr="10BDA679">
        <w:rPr>
          <w:rFonts w:ascii="Arial" w:eastAsia="Arial" w:hAnsi="Arial" w:cs="Arial"/>
          <w:color w:val="000000" w:themeColor="text1"/>
        </w:rPr>
        <w:t>to support the</w:t>
      </w:r>
      <w:r w:rsidR="4BBDB20D" w:rsidRPr="10BDA679">
        <w:rPr>
          <w:rFonts w:ascii="Arial" w:eastAsia="Arial" w:hAnsi="Arial" w:cs="Arial"/>
          <w:color w:val="000000" w:themeColor="text1"/>
        </w:rPr>
        <w:t xml:space="preserve"> </w:t>
      </w:r>
      <w:r w:rsidR="6E63EB93" w:rsidRPr="10BDA679">
        <w:rPr>
          <w:rFonts w:ascii="Arial" w:eastAsia="Arial" w:hAnsi="Arial" w:cs="Arial"/>
          <w:color w:val="000000" w:themeColor="text1"/>
        </w:rPr>
        <w:t xml:space="preserve">implementation </w:t>
      </w:r>
      <w:r w:rsidR="50C2ED57" w:rsidRPr="10BDA679">
        <w:rPr>
          <w:rFonts w:ascii="Arial" w:eastAsia="Arial" w:hAnsi="Arial" w:cs="Arial"/>
          <w:color w:val="000000" w:themeColor="text1"/>
        </w:rPr>
        <w:t xml:space="preserve">of similar services across other healthcare institutions. </w:t>
      </w:r>
    </w:p>
    <w:sectPr w:rsidR="00210143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6kfvsG6" int2:invalidationBookmarkName="" int2:hashCode="nfxS09JfWBcbZr" int2:id="0QqV2fAI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20438F"/>
    <w:rsid w:val="0020475E"/>
    <w:rsid w:val="00210143"/>
    <w:rsid w:val="002D1AC0"/>
    <w:rsid w:val="003F5231"/>
    <w:rsid w:val="006172F4"/>
    <w:rsid w:val="006F6257"/>
    <w:rsid w:val="008649CA"/>
    <w:rsid w:val="00972A08"/>
    <w:rsid w:val="009A0146"/>
    <w:rsid w:val="05E5A86F"/>
    <w:rsid w:val="0734B4AE"/>
    <w:rsid w:val="078D9C71"/>
    <w:rsid w:val="080D07C5"/>
    <w:rsid w:val="084FBF88"/>
    <w:rsid w:val="0AB30C00"/>
    <w:rsid w:val="0B282F04"/>
    <w:rsid w:val="0D6A02BA"/>
    <w:rsid w:val="0E7C0AD7"/>
    <w:rsid w:val="0F288A91"/>
    <w:rsid w:val="1056AD09"/>
    <w:rsid w:val="10BDA679"/>
    <w:rsid w:val="11892215"/>
    <w:rsid w:val="11B1D8D6"/>
    <w:rsid w:val="11CA1D4D"/>
    <w:rsid w:val="1282F316"/>
    <w:rsid w:val="12AACCCE"/>
    <w:rsid w:val="130971DA"/>
    <w:rsid w:val="1395A9AB"/>
    <w:rsid w:val="13D569F6"/>
    <w:rsid w:val="150B91B1"/>
    <w:rsid w:val="161E6D25"/>
    <w:rsid w:val="1731DEB0"/>
    <w:rsid w:val="1C30E116"/>
    <w:rsid w:val="1CB65146"/>
    <w:rsid w:val="1CEDB3A3"/>
    <w:rsid w:val="1D18BA9E"/>
    <w:rsid w:val="1D6F4E24"/>
    <w:rsid w:val="1E45E3CF"/>
    <w:rsid w:val="1E523BD6"/>
    <w:rsid w:val="1F353BF6"/>
    <w:rsid w:val="1F3AEC62"/>
    <w:rsid w:val="201489AD"/>
    <w:rsid w:val="2073BB47"/>
    <w:rsid w:val="20C55F7F"/>
    <w:rsid w:val="21524CFB"/>
    <w:rsid w:val="229B9712"/>
    <w:rsid w:val="262CE440"/>
    <w:rsid w:val="26E20E45"/>
    <w:rsid w:val="28AEBE89"/>
    <w:rsid w:val="29CF322A"/>
    <w:rsid w:val="2A7EE9DD"/>
    <w:rsid w:val="2B298BBF"/>
    <w:rsid w:val="2C8E317A"/>
    <w:rsid w:val="2CC68C94"/>
    <w:rsid w:val="2CEBD4A6"/>
    <w:rsid w:val="2CFAA14C"/>
    <w:rsid w:val="2DC08482"/>
    <w:rsid w:val="2E1B6C2F"/>
    <w:rsid w:val="2FCFE559"/>
    <w:rsid w:val="307A2DB2"/>
    <w:rsid w:val="308BF84F"/>
    <w:rsid w:val="30E3FA27"/>
    <w:rsid w:val="3148826C"/>
    <w:rsid w:val="3565E0E9"/>
    <w:rsid w:val="35747F7C"/>
    <w:rsid w:val="35A8B637"/>
    <w:rsid w:val="36080EB2"/>
    <w:rsid w:val="366A73AD"/>
    <w:rsid w:val="370A5BF2"/>
    <w:rsid w:val="3807D0C5"/>
    <w:rsid w:val="39601FB7"/>
    <w:rsid w:val="3A040F13"/>
    <w:rsid w:val="3B1FE2CD"/>
    <w:rsid w:val="3C099CC9"/>
    <w:rsid w:val="3D624A8E"/>
    <w:rsid w:val="3DE054A5"/>
    <w:rsid w:val="3E27D63D"/>
    <w:rsid w:val="3E77BEDD"/>
    <w:rsid w:val="3F2DF7D7"/>
    <w:rsid w:val="410AD3D8"/>
    <w:rsid w:val="418C8AC8"/>
    <w:rsid w:val="41BB7078"/>
    <w:rsid w:val="4221867C"/>
    <w:rsid w:val="4250E9DB"/>
    <w:rsid w:val="42717B34"/>
    <w:rsid w:val="4300F553"/>
    <w:rsid w:val="4334D1D4"/>
    <w:rsid w:val="43A2D526"/>
    <w:rsid w:val="468F146B"/>
    <w:rsid w:val="486C81D9"/>
    <w:rsid w:val="4AD9A221"/>
    <w:rsid w:val="4BBDB20D"/>
    <w:rsid w:val="4C5604F6"/>
    <w:rsid w:val="4CA497B6"/>
    <w:rsid w:val="50C2ED57"/>
    <w:rsid w:val="518E503F"/>
    <w:rsid w:val="51C5B0CF"/>
    <w:rsid w:val="537E60E1"/>
    <w:rsid w:val="543D2FC6"/>
    <w:rsid w:val="549CF2C5"/>
    <w:rsid w:val="54B48A2B"/>
    <w:rsid w:val="566761FE"/>
    <w:rsid w:val="56890EB6"/>
    <w:rsid w:val="56E45CC8"/>
    <w:rsid w:val="57E7059E"/>
    <w:rsid w:val="57EA2C08"/>
    <w:rsid w:val="5B601292"/>
    <w:rsid w:val="5D26C71C"/>
    <w:rsid w:val="5EB1059A"/>
    <w:rsid w:val="63142DB1"/>
    <w:rsid w:val="6693167B"/>
    <w:rsid w:val="68C38F0A"/>
    <w:rsid w:val="690AC0EF"/>
    <w:rsid w:val="6968A31E"/>
    <w:rsid w:val="6C2C5652"/>
    <w:rsid w:val="6D75DC6A"/>
    <w:rsid w:val="6DAF2B69"/>
    <w:rsid w:val="6DB223D5"/>
    <w:rsid w:val="6E5A4A7A"/>
    <w:rsid w:val="6E63EB93"/>
    <w:rsid w:val="6E95F23D"/>
    <w:rsid w:val="70EF6978"/>
    <w:rsid w:val="71DECEB1"/>
    <w:rsid w:val="727C5EB1"/>
    <w:rsid w:val="7285C191"/>
    <w:rsid w:val="72E79E8A"/>
    <w:rsid w:val="73C2FEA7"/>
    <w:rsid w:val="744DCB73"/>
    <w:rsid w:val="7456B878"/>
    <w:rsid w:val="75AB078B"/>
    <w:rsid w:val="77339C09"/>
    <w:rsid w:val="7825906F"/>
    <w:rsid w:val="7840635B"/>
    <w:rsid w:val="78DF9FC9"/>
    <w:rsid w:val="7909C06A"/>
    <w:rsid w:val="794DB1FC"/>
    <w:rsid w:val="7A3B557F"/>
    <w:rsid w:val="7A54679D"/>
    <w:rsid w:val="7AEE1847"/>
    <w:rsid w:val="7B7DA72B"/>
    <w:rsid w:val="7C6CB037"/>
    <w:rsid w:val="7D01D4C2"/>
    <w:rsid w:val="7DF0D61A"/>
    <w:rsid w:val="7E0E74A0"/>
    <w:rsid w:val="7E6EC68E"/>
    <w:rsid w:val="7F1086E4"/>
    <w:rsid w:val="7FE5B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EF5EB-6492-4FD2-85A2-368AB06F6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1930</Characters>
  <Application>Microsoft Office Word</Application>
  <DocSecurity>0</DocSecurity>
  <Lines>32</Lines>
  <Paragraphs>10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Abby Yu</cp:lastModifiedBy>
  <cp:revision>7</cp:revision>
  <dcterms:created xsi:type="dcterms:W3CDTF">2025-10-10T02:07:00Z</dcterms:created>
  <dcterms:modified xsi:type="dcterms:W3CDTF">2026-01-26T04:46:00Z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