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EB17" w14:textId="77777777" w:rsidR="005E76FA" w:rsidRPr="00846C31" w:rsidRDefault="005E76FA" w:rsidP="005E76FA">
      <w:pPr>
        <w:rPr>
          <w:rFonts w:ascii="Arial" w:hAnsi="Arial" w:cs="Arial"/>
          <w:b/>
          <w:bCs/>
        </w:rPr>
      </w:pPr>
      <w:r w:rsidRPr="00846C31">
        <w:rPr>
          <w:rFonts w:ascii="Arial" w:hAnsi="Arial" w:cs="Arial"/>
          <w:b/>
          <w:bCs/>
        </w:rPr>
        <w:t xml:space="preserve">Abstract Title </w:t>
      </w:r>
    </w:p>
    <w:p w14:paraId="2365AD12" w14:textId="77777777" w:rsidR="005E76FA" w:rsidRDefault="005E76FA" w:rsidP="005E76FA">
      <w:pPr>
        <w:rPr>
          <w:rFonts w:ascii="Arial" w:hAnsi="Arial" w:cs="Arial"/>
        </w:rPr>
      </w:pPr>
      <w:r>
        <w:rPr>
          <w:rFonts w:ascii="Arial" w:hAnsi="Arial" w:cs="Arial"/>
        </w:rPr>
        <w:t xml:space="preserve">Outcomes of the Connected Care for Complex Chronic Disease (4CD) Diabetes Clinic, an integrated primary-specialist model of care. </w:t>
      </w:r>
    </w:p>
    <w:p w14:paraId="399278A6" w14:textId="77777777" w:rsidR="005E76FA" w:rsidRDefault="005E76FA" w:rsidP="005E76FA">
      <w:pPr>
        <w:rPr>
          <w:rFonts w:ascii="Arial" w:hAnsi="Arial" w:cs="Arial"/>
        </w:rPr>
      </w:pPr>
    </w:p>
    <w:p w14:paraId="432B38BE" w14:textId="77777777" w:rsidR="005E76FA" w:rsidRPr="00846C31" w:rsidRDefault="005E76FA" w:rsidP="005E76FA">
      <w:pPr>
        <w:rPr>
          <w:rFonts w:ascii="Arial" w:hAnsi="Arial" w:cs="Arial"/>
          <w:b/>
          <w:bCs/>
        </w:rPr>
      </w:pPr>
      <w:r w:rsidRPr="00846C31">
        <w:rPr>
          <w:rFonts w:ascii="Arial" w:hAnsi="Arial" w:cs="Arial"/>
          <w:b/>
          <w:bCs/>
        </w:rPr>
        <w:t xml:space="preserve">Abstract Content </w:t>
      </w:r>
    </w:p>
    <w:p w14:paraId="6FDD9F9D" w14:textId="77777777" w:rsidR="00EE5B23" w:rsidRDefault="00EE5B23" w:rsidP="005E76FA">
      <w:pPr>
        <w:rPr>
          <w:rFonts w:ascii="Arial" w:hAnsi="Arial" w:cs="Arial"/>
        </w:rPr>
      </w:pPr>
    </w:p>
    <w:p w14:paraId="6C2CB2F4" w14:textId="1DB97C2E" w:rsidR="005E76FA" w:rsidRDefault="005E76FA" w:rsidP="005E76FA">
      <w:pPr>
        <w:rPr>
          <w:rFonts w:ascii="Arial" w:hAnsi="Arial" w:cs="Arial"/>
        </w:rPr>
      </w:pPr>
      <w:r>
        <w:rPr>
          <w:rFonts w:ascii="Arial" w:hAnsi="Arial" w:cs="Arial"/>
        </w:rPr>
        <w:t>Aim:</w:t>
      </w:r>
    </w:p>
    <w:p w14:paraId="09DA23FE" w14:textId="3ECEC71D" w:rsidR="005E76FA" w:rsidRDefault="005E76FA" w:rsidP="005E76FA">
      <w:pPr>
        <w:rPr>
          <w:rFonts w:ascii="Arial" w:hAnsi="Arial" w:cs="Arial"/>
        </w:rPr>
      </w:pPr>
      <w:r>
        <w:rPr>
          <w:rFonts w:ascii="Arial" w:hAnsi="Arial" w:cs="Arial"/>
        </w:rPr>
        <w:t xml:space="preserve">To analyse the clinical outcomes of the Connected Care for Complex Chronic Disease (4CD) Diabetes Clinic, an integrated primary-specialist model of care designed to improve quality and access to specialist care for adults with type 2 diabetes (T2D). </w:t>
      </w:r>
    </w:p>
    <w:p w14:paraId="10A38997" w14:textId="77777777" w:rsidR="005E76FA" w:rsidRDefault="005E76FA" w:rsidP="005E76FA">
      <w:pPr>
        <w:rPr>
          <w:rFonts w:ascii="Arial" w:hAnsi="Arial" w:cs="Arial"/>
        </w:rPr>
      </w:pPr>
    </w:p>
    <w:p w14:paraId="6CE20FD0" w14:textId="77777777" w:rsidR="005E76FA" w:rsidRDefault="005E76FA" w:rsidP="005E76FA">
      <w:pPr>
        <w:rPr>
          <w:rFonts w:ascii="Arial" w:hAnsi="Arial" w:cs="Arial"/>
        </w:rPr>
      </w:pPr>
      <w:r>
        <w:rPr>
          <w:rFonts w:ascii="Arial" w:hAnsi="Arial" w:cs="Arial"/>
        </w:rPr>
        <w:t xml:space="preserve">Methods: </w:t>
      </w:r>
    </w:p>
    <w:p w14:paraId="378593FA" w14:textId="77777777" w:rsidR="005E76FA" w:rsidRDefault="005E76FA" w:rsidP="005E76FA">
      <w:pPr>
        <w:rPr>
          <w:rFonts w:ascii="Arial" w:hAnsi="Arial" w:cs="Arial"/>
        </w:rPr>
      </w:pPr>
      <w:r>
        <w:rPr>
          <w:rFonts w:ascii="Arial" w:hAnsi="Arial" w:cs="Arial"/>
        </w:rPr>
        <w:t>This prospective analysis was conducted at Alfred Health, a quaternary referral service in Melbourne, Australia from service initiation in June 2023 to September 2025. Adults (≥18 years) with T2D were referred by their general practitioner (GP) or internal hospital pathways. This model was adapted from the Beacon Clinic</w:t>
      </w:r>
      <w:r>
        <w:rPr>
          <w:rFonts w:ascii="Arial" w:hAnsi="Arial" w:cs="Arial"/>
          <w:vertAlign w:val="superscript"/>
        </w:rPr>
        <w:t>1</w:t>
      </w:r>
      <w:r>
        <w:rPr>
          <w:rFonts w:ascii="Arial" w:hAnsi="Arial" w:cs="Arial"/>
        </w:rPr>
        <w:t xml:space="preserve"> and utilised upskilled GPs within a multidisciplinary team, overseen by an endocrinologist, to deliver coordinated care. Patients remained in the model for 12 months or until agreed upon clinical targets were achieved. The primary outcome was HbA1c (%) at 12 months, or earlier if discharged. Secondary outcomes included body mass index, lipid profile, blood pressure, pharmacotherapy and patient reported experience measures (Net Promoter Score (NPS)). Analysis used a mixed-effects model with intention to treat. </w:t>
      </w:r>
    </w:p>
    <w:p w14:paraId="1A8AA993" w14:textId="77777777" w:rsidR="005E76FA" w:rsidRDefault="005E76FA" w:rsidP="005E76FA">
      <w:pPr>
        <w:rPr>
          <w:rFonts w:ascii="Arial" w:hAnsi="Arial" w:cs="Arial"/>
        </w:rPr>
      </w:pPr>
    </w:p>
    <w:p w14:paraId="54983861" w14:textId="77777777" w:rsidR="005E76FA" w:rsidRDefault="005E76FA" w:rsidP="005E76FA">
      <w:pPr>
        <w:rPr>
          <w:rFonts w:ascii="Arial" w:hAnsi="Arial" w:cs="Arial"/>
        </w:rPr>
      </w:pPr>
      <w:r>
        <w:rPr>
          <w:rFonts w:ascii="Arial" w:hAnsi="Arial" w:cs="Arial"/>
        </w:rPr>
        <w:t>Results:</w:t>
      </w:r>
    </w:p>
    <w:p w14:paraId="6EB7C21E" w14:textId="77777777" w:rsidR="005E76FA" w:rsidRDefault="005E76FA" w:rsidP="005E76FA">
      <w:pPr>
        <w:rPr>
          <w:rFonts w:ascii="Arial" w:hAnsi="Arial" w:cs="Arial"/>
        </w:rPr>
      </w:pPr>
      <w:r>
        <w:rPr>
          <w:rFonts w:ascii="Arial" w:hAnsi="Arial" w:cs="Arial"/>
        </w:rPr>
        <w:t>306 patients were included (mean age 64.5; 65% male), with a mean duration of diabetes of 12.5 years, and baseline HbA1c of 8.6%. 14.4% of patients were lost to follow-up. Mean HbA1c decreased to 7.6% (p&lt;0.0001) within the first 3 months and improvements were sustained throughout the analysis period. Significant reductions were also observed in total cholesterol, low-density lipoprotein, triglycerides, body weight and diastolic blood pressure. There was an increased use of glucagon-like peptide 1 receptor agonists and sodium-glucose cotransporter 2 inhibitors. NPS was 82.7 (world-class).</w:t>
      </w:r>
    </w:p>
    <w:p w14:paraId="1A9EF3C9" w14:textId="77777777" w:rsidR="005E76FA" w:rsidRDefault="005E76FA" w:rsidP="005E76FA">
      <w:pPr>
        <w:rPr>
          <w:rFonts w:ascii="Arial" w:hAnsi="Arial" w:cs="Arial"/>
        </w:rPr>
      </w:pPr>
    </w:p>
    <w:p w14:paraId="5EFB154C" w14:textId="77777777" w:rsidR="005E76FA" w:rsidRPr="007244F0" w:rsidRDefault="005E76FA" w:rsidP="005E76FA">
      <w:pPr>
        <w:rPr>
          <w:rFonts w:ascii="Arial" w:hAnsi="Arial" w:cs="Arial"/>
        </w:rPr>
      </w:pPr>
      <w:r>
        <w:rPr>
          <w:rFonts w:ascii="Arial" w:hAnsi="Arial" w:cs="Arial"/>
        </w:rPr>
        <w:t xml:space="preserve">Conclusion: </w:t>
      </w:r>
    </w:p>
    <w:p w14:paraId="616CF60D" w14:textId="77777777" w:rsidR="005E76FA" w:rsidRPr="007244F0" w:rsidRDefault="005E76FA" w:rsidP="005E76FA">
      <w:pPr>
        <w:rPr>
          <w:rFonts w:ascii="Arial" w:hAnsi="Arial" w:cs="Arial"/>
        </w:rPr>
      </w:pPr>
      <w:r>
        <w:rPr>
          <w:rFonts w:ascii="Arial" w:hAnsi="Arial" w:cs="Arial"/>
        </w:rPr>
        <w:t xml:space="preserve">The 4CD-diabetes clinic demonstrates that an integrated primary-specialist model of care for T2D can be successfully translated and implemented into another tertiary health service, achieve excellent clinical outcomes, world-class patient experience and promote guideline directed medical therapy. </w:t>
      </w:r>
    </w:p>
    <w:p w14:paraId="2C282AB7" w14:textId="77777777" w:rsidR="005E76FA" w:rsidRPr="007244F0" w:rsidRDefault="005E76FA" w:rsidP="005E76FA">
      <w:pPr>
        <w:rPr>
          <w:rFonts w:ascii="Arial" w:hAnsi="Arial" w:cs="Arial"/>
        </w:rPr>
      </w:pPr>
    </w:p>
    <w:p w14:paraId="1BFB67BA" w14:textId="77777777" w:rsidR="005E76FA" w:rsidRDefault="005E76FA" w:rsidP="005E76FA">
      <w:pPr>
        <w:rPr>
          <w:rFonts w:ascii="Arial" w:hAnsi="Arial" w:cs="Arial"/>
          <w:sz w:val="18"/>
          <w:szCs w:val="18"/>
        </w:rPr>
      </w:pPr>
      <w:r w:rsidRPr="00BB5B67">
        <w:rPr>
          <w:rFonts w:ascii="Arial" w:hAnsi="Arial" w:cs="Arial"/>
          <w:vertAlign w:val="superscript"/>
        </w:rPr>
        <w:t>1</w:t>
      </w:r>
      <w:r>
        <w:rPr>
          <w:rFonts w:ascii="Arial" w:hAnsi="Arial" w:cs="Arial"/>
          <w:vertAlign w:val="superscript"/>
        </w:rPr>
        <w:t xml:space="preserve"> </w:t>
      </w:r>
      <w:r w:rsidRPr="00BB5B67">
        <w:rPr>
          <w:rFonts w:ascii="Arial" w:hAnsi="Arial" w:cs="Arial"/>
          <w:sz w:val="18"/>
          <w:szCs w:val="18"/>
        </w:rPr>
        <w:t>Russell, A. W.et al. (2019).</w:t>
      </w:r>
      <w:r w:rsidRPr="00BB5B67">
        <w:rPr>
          <w:rFonts w:ascii="Arial" w:hAnsi="Arial" w:cs="Arial"/>
          <w:i/>
          <w:iCs/>
          <w:sz w:val="18"/>
          <w:szCs w:val="18"/>
        </w:rPr>
        <w:t xml:space="preserve"> </w:t>
      </w:r>
      <w:proofErr w:type="spellStart"/>
      <w:r w:rsidRPr="00BB5B67">
        <w:rPr>
          <w:rFonts w:ascii="Arial" w:hAnsi="Arial" w:cs="Arial"/>
          <w:i/>
          <w:iCs/>
          <w:sz w:val="18"/>
          <w:szCs w:val="18"/>
        </w:rPr>
        <w:t>Diabetologia</w:t>
      </w:r>
      <w:proofErr w:type="spellEnd"/>
      <w:r w:rsidRPr="00BB5B67">
        <w:rPr>
          <w:rFonts w:ascii="Arial" w:hAnsi="Arial" w:cs="Arial"/>
          <w:sz w:val="18"/>
          <w:szCs w:val="18"/>
        </w:rPr>
        <w:t>, </w:t>
      </w:r>
      <w:r w:rsidRPr="00BB5B67">
        <w:rPr>
          <w:rFonts w:ascii="Arial" w:hAnsi="Arial" w:cs="Arial"/>
          <w:i/>
          <w:iCs/>
          <w:sz w:val="18"/>
          <w:szCs w:val="18"/>
        </w:rPr>
        <w:t>62</w:t>
      </w:r>
      <w:r w:rsidRPr="00BB5B67">
        <w:rPr>
          <w:rFonts w:ascii="Arial" w:hAnsi="Arial" w:cs="Arial"/>
          <w:sz w:val="18"/>
          <w:szCs w:val="18"/>
        </w:rPr>
        <w:t>(1), 41-52. </w:t>
      </w:r>
    </w:p>
    <w:p w14:paraId="16C71BB8" w14:textId="77777777" w:rsidR="005E76FA" w:rsidRPr="007244F0" w:rsidRDefault="005E76FA" w:rsidP="005E76FA">
      <w:pPr>
        <w:rPr>
          <w:rFonts w:ascii="Arial" w:hAnsi="Arial" w:cs="Arial"/>
        </w:rPr>
      </w:pPr>
      <w:r>
        <w:rPr>
          <w:rFonts w:ascii="Arial" w:hAnsi="Arial" w:cs="Arial"/>
          <w:sz w:val="18"/>
          <w:szCs w:val="18"/>
        </w:rPr>
        <w:t>*Joint first authors</w:t>
      </w:r>
    </w:p>
    <w:p w14:paraId="20C67DCE" w14:textId="77777777" w:rsidR="00F42596" w:rsidRDefault="00F42596"/>
    <w:sectPr w:rsidR="00F42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20B0604020202020204"/>
    <w:charset w:val="00"/>
    <w:family w:val="modern"/>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FA"/>
    <w:rsid w:val="00020428"/>
    <w:rsid w:val="000537B3"/>
    <w:rsid w:val="00057219"/>
    <w:rsid w:val="000938D2"/>
    <w:rsid w:val="000A457B"/>
    <w:rsid w:val="000F09D4"/>
    <w:rsid w:val="001327B6"/>
    <w:rsid w:val="00165A6D"/>
    <w:rsid w:val="001A5927"/>
    <w:rsid w:val="001C6056"/>
    <w:rsid w:val="00255086"/>
    <w:rsid w:val="002C1135"/>
    <w:rsid w:val="002D6AC4"/>
    <w:rsid w:val="00334879"/>
    <w:rsid w:val="003732A5"/>
    <w:rsid w:val="00503A10"/>
    <w:rsid w:val="00504216"/>
    <w:rsid w:val="00526961"/>
    <w:rsid w:val="005705B2"/>
    <w:rsid w:val="005C33B0"/>
    <w:rsid w:val="005C564E"/>
    <w:rsid w:val="005E1403"/>
    <w:rsid w:val="005E76FA"/>
    <w:rsid w:val="005F063F"/>
    <w:rsid w:val="006364CA"/>
    <w:rsid w:val="00650450"/>
    <w:rsid w:val="006A512D"/>
    <w:rsid w:val="006C4D82"/>
    <w:rsid w:val="00783554"/>
    <w:rsid w:val="007E57D8"/>
    <w:rsid w:val="00850B09"/>
    <w:rsid w:val="008836EF"/>
    <w:rsid w:val="008921F5"/>
    <w:rsid w:val="008B5C56"/>
    <w:rsid w:val="00903DBD"/>
    <w:rsid w:val="0093532E"/>
    <w:rsid w:val="00967EAC"/>
    <w:rsid w:val="00990780"/>
    <w:rsid w:val="009A6FE1"/>
    <w:rsid w:val="009D44CD"/>
    <w:rsid w:val="009E0072"/>
    <w:rsid w:val="00A102F9"/>
    <w:rsid w:val="00A13B8D"/>
    <w:rsid w:val="00A2124B"/>
    <w:rsid w:val="00A575F0"/>
    <w:rsid w:val="00A740B2"/>
    <w:rsid w:val="00A74ACF"/>
    <w:rsid w:val="00AA4191"/>
    <w:rsid w:val="00AE17F2"/>
    <w:rsid w:val="00AF2ECB"/>
    <w:rsid w:val="00B13E7A"/>
    <w:rsid w:val="00B92AD2"/>
    <w:rsid w:val="00BB1085"/>
    <w:rsid w:val="00BF77DF"/>
    <w:rsid w:val="00C16527"/>
    <w:rsid w:val="00C26FBD"/>
    <w:rsid w:val="00C35CF8"/>
    <w:rsid w:val="00C504AE"/>
    <w:rsid w:val="00C848E1"/>
    <w:rsid w:val="00CA29FA"/>
    <w:rsid w:val="00CD742D"/>
    <w:rsid w:val="00D74BAB"/>
    <w:rsid w:val="00E75F12"/>
    <w:rsid w:val="00E9583B"/>
    <w:rsid w:val="00E961AC"/>
    <w:rsid w:val="00ED61DF"/>
    <w:rsid w:val="00EE5B23"/>
    <w:rsid w:val="00EF131C"/>
    <w:rsid w:val="00EF3E2C"/>
    <w:rsid w:val="00F33930"/>
    <w:rsid w:val="00F42596"/>
    <w:rsid w:val="00F45C06"/>
    <w:rsid w:val="00F83130"/>
    <w:rsid w:val="00F83752"/>
    <w:rsid w:val="00F85253"/>
    <w:rsid w:val="00FB097A"/>
    <w:rsid w:val="00FD6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ACA3140"/>
  <w15:chartTrackingRefBased/>
  <w15:docId w15:val="{74E69E0F-87E2-9D40-A278-228FC62E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FA"/>
    <w:rPr>
      <w:rFonts w:ascii="Atlas Grotesk Regular" w:hAnsi="Atlas Grotesk Regular"/>
      <w:kern w:val="0"/>
      <w:sz w:val="22"/>
      <w:szCs w:val="22"/>
      <w:lang w:val="en-NZ"/>
      <w14:ligatures w14:val="none"/>
    </w:rPr>
  </w:style>
  <w:style w:type="paragraph" w:styleId="Heading1">
    <w:name w:val="heading 1"/>
    <w:basedOn w:val="Normal"/>
    <w:next w:val="Normal"/>
    <w:link w:val="Heading1Char"/>
    <w:uiPriority w:val="9"/>
    <w:qFormat/>
    <w:rsid w:val="005E76F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5E76F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5E76FA"/>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5E76FA"/>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5E76FA"/>
    <w:pPr>
      <w:keepNext/>
      <w:keepLines/>
      <w:spacing w:before="80" w:after="40"/>
      <w:outlineLvl w:val="4"/>
    </w:pPr>
    <w:rPr>
      <w:rFonts w:asciiTheme="minorHAnsi" w:eastAsiaTheme="majorEastAsia" w:hAnsiTheme="minorHAnsi" w:cstheme="majorBidi"/>
      <w:color w:val="0F4761"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5E76FA"/>
    <w:pPr>
      <w:keepNext/>
      <w:keepLines/>
      <w:spacing w:before="40"/>
      <w:outlineLvl w:val="5"/>
    </w:pPr>
    <w:rPr>
      <w:rFonts w:asciiTheme="minorHAnsi" w:eastAsiaTheme="majorEastAsia" w:hAnsiTheme="minorHAnsi"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5E76FA"/>
    <w:pPr>
      <w:keepNext/>
      <w:keepLines/>
      <w:spacing w:before="40"/>
      <w:outlineLvl w:val="6"/>
    </w:pPr>
    <w:rPr>
      <w:rFonts w:asciiTheme="minorHAnsi" w:eastAsiaTheme="majorEastAsia" w:hAnsiTheme="minorHAnsi"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5E76FA"/>
    <w:pPr>
      <w:keepNext/>
      <w:keepLines/>
      <w:outlineLvl w:val="7"/>
    </w:pPr>
    <w:rPr>
      <w:rFonts w:asciiTheme="minorHAnsi" w:eastAsiaTheme="majorEastAsia" w:hAnsiTheme="minorHAnsi"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5E76FA"/>
    <w:pPr>
      <w:keepNext/>
      <w:keepLines/>
      <w:outlineLvl w:val="8"/>
    </w:pPr>
    <w:rPr>
      <w:rFonts w:asciiTheme="minorHAnsi" w:eastAsiaTheme="majorEastAsia" w:hAnsiTheme="minorHAnsi"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6FA"/>
    <w:rPr>
      <w:rFonts w:eastAsiaTheme="majorEastAsia" w:cstheme="majorBidi"/>
      <w:color w:val="272727" w:themeColor="text1" w:themeTint="D8"/>
    </w:rPr>
  </w:style>
  <w:style w:type="paragraph" w:styleId="Title">
    <w:name w:val="Title"/>
    <w:basedOn w:val="Normal"/>
    <w:next w:val="Normal"/>
    <w:link w:val="TitleChar"/>
    <w:uiPriority w:val="10"/>
    <w:qFormat/>
    <w:rsid w:val="005E76FA"/>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5E7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6FA"/>
    <w:pPr>
      <w:numPr>
        <w:ilvl w:val="1"/>
      </w:numPr>
      <w:spacing w:after="160"/>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5E7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6FA"/>
    <w:pPr>
      <w:spacing w:before="160" w:after="160"/>
      <w:jc w:val="center"/>
    </w:pPr>
    <w:rPr>
      <w:rFonts w:asciiTheme="minorHAnsi" w:hAnsiTheme="minorHAnsi"/>
      <w:i/>
      <w:iCs/>
      <w:color w:val="404040" w:themeColor="text1" w:themeTint="BF"/>
      <w:kern w:val="2"/>
      <w:sz w:val="24"/>
      <w:szCs w:val="24"/>
      <w:lang w:val="en-AU"/>
      <w14:ligatures w14:val="standardContextual"/>
    </w:rPr>
  </w:style>
  <w:style w:type="character" w:customStyle="1" w:styleId="QuoteChar">
    <w:name w:val="Quote Char"/>
    <w:basedOn w:val="DefaultParagraphFont"/>
    <w:link w:val="Quote"/>
    <w:uiPriority w:val="29"/>
    <w:rsid w:val="005E76FA"/>
    <w:rPr>
      <w:i/>
      <w:iCs/>
      <w:color w:val="404040" w:themeColor="text1" w:themeTint="BF"/>
    </w:rPr>
  </w:style>
  <w:style w:type="paragraph" w:styleId="ListParagraph">
    <w:name w:val="List Paragraph"/>
    <w:basedOn w:val="Normal"/>
    <w:uiPriority w:val="34"/>
    <w:qFormat/>
    <w:rsid w:val="005E76FA"/>
    <w:pPr>
      <w:ind w:left="720"/>
      <w:contextualSpacing/>
    </w:pPr>
    <w:rPr>
      <w:rFonts w:asciiTheme="minorHAnsi" w:hAnsiTheme="minorHAnsi"/>
      <w:kern w:val="2"/>
      <w:sz w:val="24"/>
      <w:szCs w:val="24"/>
      <w:lang w:val="en-AU"/>
      <w14:ligatures w14:val="standardContextual"/>
    </w:rPr>
  </w:style>
  <w:style w:type="character" w:styleId="IntenseEmphasis">
    <w:name w:val="Intense Emphasis"/>
    <w:basedOn w:val="DefaultParagraphFont"/>
    <w:uiPriority w:val="21"/>
    <w:qFormat/>
    <w:rsid w:val="005E76FA"/>
    <w:rPr>
      <w:i/>
      <w:iCs/>
      <w:color w:val="0F4761" w:themeColor="accent1" w:themeShade="BF"/>
    </w:rPr>
  </w:style>
  <w:style w:type="paragraph" w:styleId="IntenseQuote">
    <w:name w:val="Intense Quote"/>
    <w:basedOn w:val="Normal"/>
    <w:next w:val="Normal"/>
    <w:link w:val="IntenseQuoteChar"/>
    <w:uiPriority w:val="30"/>
    <w:qFormat/>
    <w:rsid w:val="005E76F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5E76FA"/>
    <w:rPr>
      <w:i/>
      <w:iCs/>
      <w:color w:val="0F4761" w:themeColor="accent1" w:themeShade="BF"/>
    </w:rPr>
  </w:style>
  <w:style w:type="character" w:styleId="IntenseReference">
    <w:name w:val="Intense Reference"/>
    <w:basedOn w:val="DefaultParagraphFont"/>
    <w:uiPriority w:val="32"/>
    <w:qFormat/>
    <w:rsid w:val="005E76FA"/>
    <w:rPr>
      <w:b/>
      <w:bCs/>
      <w:smallCaps/>
      <w:color w:val="0F4761" w:themeColor="accent1" w:themeShade="BF"/>
      <w:spacing w:val="5"/>
    </w:rPr>
  </w:style>
  <w:style w:type="character" w:styleId="CommentReference">
    <w:name w:val="annotation reference"/>
    <w:basedOn w:val="DefaultParagraphFont"/>
    <w:uiPriority w:val="99"/>
    <w:semiHidden/>
    <w:unhideWhenUsed/>
    <w:rsid w:val="005E76FA"/>
    <w:rPr>
      <w:sz w:val="16"/>
      <w:szCs w:val="16"/>
    </w:rPr>
  </w:style>
  <w:style w:type="paragraph" w:styleId="CommentText">
    <w:name w:val="annotation text"/>
    <w:basedOn w:val="Normal"/>
    <w:link w:val="CommentTextChar"/>
    <w:uiPriority w:val="99"/>
    <w:unhideWhenUsed/>
    <w:rsid w:val="005E76FA"/>
    <w:rPr>
      <w:sz w:val="20"/>
      <w:szCs w:val="20"/>
    </w:rPr>
  </w:style>
  <w:style w:type="character" w:customStyle="1" w:styleId="CommentTextChar">
    <w:name w:val="Comment Text Char"/>
    <w:basedOn w:val="DefaultParagraphFont"/>
    <w:link w:val="CommentText"/>
    <w:uiPriority w:val="99"/>
    <w:rsid w:val="005E76FA"/>
    <w:rPr>
      <w:rFonts w:ascii="Atlas Grotesk Regular" w:hAnsi="Atlas Grotesk Regular"/>
      <w:kern w:val="0"/>
      <w:sz w:val="20"/>
      <w:szCs w:val="20"/>
      <w:lang w:val="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1951</Characters>
  <Application>Microsoft Office Word</Application>
  <DocSecurity>0</DocSecurity>
  <Lines>39</Lines>
  <Paragraphs>15</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Jaskirath Gill</dc:creator>
  <cp:keywords/>
  <dc:description/>
  <cp:lastModifiedBy>Jaskirath Gill</cp:lastModifiedBy>
  <cp:revision>2</cp:revision>
  <dcterms:created xsi:type="dcterms:W3CDTF">2026-02-17T22:38:00Z</dcterms:created>
  <dcterms:modified xsi:type="dcterms:W3CDTF">2026-02-17T22:39:00Z</dcterms:modified>
</cp:coreProperties>
</file>