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09BB0" w14:textId="77777777" w:rsidR="009F7D96" w:rsidRDefault="009F7D96" w:rsidP="009F7D96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4EDFC318" w14:textId="2BE4DD75" w:rsidR="00656C4F" w:rsidRPr="009F7D96" w:rsidRDefault="00E82A16" w:rsidP="009F7D96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9F7D96">
        <w:rPr>
          <w:rFonts w:ascii="Arial" w:hAnsi="Arial" w:cs="Arial"/>
          <w:b/>
          <w:bCs/>
          <w:sz w:val="22"/>
          <w:szCs w:val="22"/>
        </w:rPr>
        <w:t xml:space="preserve">Continuous glucose monitoring </w:t>
      </w:r>
      <w:proofErr w:type="gramStart"/>
      <w:r w:rsidR="00835E5B" w:rsidRPr="009F7D96">
        <w:rPr>
          <w:rFonts w:ascii="Arial" w:hAnsi="Arial" w:cs="Arial"/>
          <w:b/>
          <w:bCs/>
          <w:sz w:val="22"/>
          <w:szCs w:val="22"/>
        </w:rPr>
        <w:t>improve</w:t>
      </w:r>
      <w:proofErr w:type="gramEnd"/>
      <w:r w:rsidR="00835E5B" w:rsidRPr="009F7D96">
        <w:rPr>
          <w:rFonts w:ascii="Arial" w:hAnsi="Arial" w:cs="Arial"/>
          <w:b/>
          <w:bCs/>
          <w:sz w:val="22"/>
          <w:szCs w:val="22"/>
        </w:rPr>
        <w:t xml:space="preserve"> glycaemia in</w:t>
      </w:r>
      <w:r w:rsidRPr="009F7D96">
        <w:rPr>
          <w:rFonts w:ascii="Arial" w:hAnsi="Arial" w:cs="Arial"/>
          <w:b/>
          <w:bCs/>
          <w:sz w:val="22"/>
          <w:szCs w:val="22"/>
        </w:rPr>
        <w:t xml:space="preserve"> adults with </w:t>
      </w:r>
      <w:r w:rsidR="009F0C12" w:rsidRPr="009F7D96">
        <w:rPr>
          <w:rFonts w:ascii="Arial" w:hAnsi="Arial" w:cs="Arial"/>
          <w:b/>
          <w:bCs/>
          <w:sz w:val="22"/>
          <w:szCs w:val="22"/>
        </w:rPr>
        <w:t>Type 2 Diabetes</w:t>
      </w:r>
      <w:r w:rsidR="00835E5B" w:rsidRPr="009F7D96">
        <w:rPr>
          <w:rFonts w:ascii="Arial" w:hAnsi="Arial" w:cs="Arial"/>
          <w:b/>
          <w:bCs/>
          <w:sz w:val="22"/>
          <w:szCs w:val="22"/>
        </w:rPr>
        <w:t xml:space="preserve"> and </w:t>
      </w:r>
      <w:r w:rsidRPr="009F7D96">
        <w:rPr>
          <w:rFonts w:ascii="Arial" w:hAnsi="Arial" w:cs="Arial"/>
          <w:b/>
          <w:bCs/>
          <w:sz w:val="22"/>
          <w:szCs w:val="22"/>
        </w:rPr>
        <w:t xml:space="preserve">active diabetes-related foot disease </w:t>
      </w:r>
      <w:r w:rsidR="009F0C12" w:rsidRPr="009F7D96">
        <w:rPr>
          <w:rFonts w:ascii="Arial" w:hAnsi="Arial" w:cs="Arial"/>
          <w:b/>
          <w:bCs/>
          <w:sz w:val="22"/>
          <w:szCs w:val="22"/>
        </w:rPr>
        <w:t xml:space="preserve">when supported </w:t>
      </w:r>
      <w:r w:rsidRPr="009F7D96">
        <w:rPr>
          <w:rFonts w:ascii="Arial" w:hAnsi="Arial" w:cs="Arial"/>
          <w:b/>
          <w:bCs/>
          <w:sz w:val="22"/>
          <w:szCs w:val="22"/>
        </w:rPr>
        <w:t xml:space="preserve">through </w:t>
      </w:r>
      <w:r w:rsidR="00835E5B" w:rsidRPr="009F7D96">
        <w:rPr>
          <w:rFonts w:ascii="Arial" w:hAnsi="Arial" w:cs="Arial"/>
          <w:b/>
          <w:bCs/>
          <w:sz w:val="22"/>
          <w:szCs w:val="22"/>
        </w:rPr>
        <w:t xml:space="preserve">a </w:t>
      </w:r>
      <w:r w:rsidRPr="009F7D96">
        <w:rPr>
          <w:rFonts w:ascii="Arial" w:hAnsi="Arial" w:cs="Arial"/>
          <w:b/>
          <w:bCs/>
          <w:sz w:val="22"/>
          <w:szCs w:val="22"/>
        </w:rPr>
        <w:t>virtual Diabetes Model-of-Care</w:t>
      </w:r>
    </w:p>
    <w:p w14:paraId="25B61A84" w14:textId="6B4E9C76" w:rsidR="00E82A16" w:rsidRPr="009F7D96" w:rsidRDefault="00E82A16" w:rsidP="009F7D96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9F7D96">
        <w:rPr>
          <w:rFonts w:ascii="Arial" w:hAnsi="Arial" w:cs="Arial"/>
          <w:sz w:val="22"/>
          <w:szCs w:val="22"/>
        </w:rPr>
        <w:t>Introduction</w:t>
      </w:r>
    </w:p>
    <w:p w14:paraId="389306DF" w14:textId="709ECD60" w:rsidR="00E82A16" w:rsidRPr="009F7D96" w:rsidRDefault="00E82A16" w:rsidP="009F7D96">
      <w:pPr>
        <w:spacing w:line="240" w:lineRule="auto"/>
        <w:rPr>
          <w:rFonts w:ascii="Arial" w:hAnsi="Arial" w:cs="Arial"/>
          <w:sz w:val="22"/>
          <w:szCs w:val="22"/>
        </w:rPr>
      </w:pPr>
      <w:r w:rsidRPr="009F7D96">
        <w:rPr>
          <w:rFonts w:ascii="Arial" w:hAnsi="Arial" w:cs="Arial"/>
          <w:sz w:val="22"/>
          <w:szCs w:val="22"/>
        </w:rPr>
        <w:t xml:space="preserve">Adults with </w:t>
      </w:r>
      <w:r w:rsidR="006B3321" w:rsidRPr="009F7D96">
        <w:rPr>
          <w:rFonts w:ascii="Arial" w:hAnsi="Arial" w:cs="Arial"/>
          <w:sz w:val="22"/>
          <w:szCs w:val="22"/>
        </w:rPr>
        <w:t>Type 2 diabetes (T2D) and active d</w:t>
      </w:r>
      <w:r w:rsidR="00D32F4C" w:rsidRPr="009F7D96">
        <w:rPr>
          <w:rFonts w:ascii="Arial" w:hAnsi="Arial" w:cs="Arial"/>
          <w:sz w:val="22"/>
          <w:szCs w:val="22"/>
        </w:rPr>
        <w:t xml:space="preserve">iabetes-related </w:t>
      </w:r>
      <w:r w:rsidR="006B3321" w:rsidRPr="009F7D96">
        <w:rPr>
          <w:rFonts w:ascii="Arial" w:hAnsi="Arial" w:cs="Arial"/>
          <w:sz w:val="22"/>
          <w:szCs w:val="22"/>
        </w:rPr>
        <w:t>f</w:t>
      </w:r>
      <w:r w:rsidR="00D32F4C" w:rsidRPr="009F7D96">
        <w:rPr>
          <w:rFonts w:ascii="Arial" w:hAnsi="Arial" w:cs="Arial"/>
          <w:sz w:val="22"/>
          <w:szCs w:val="22"/>
        </w:rPr>
        <w:t xml:space="preserve">oot </w:t>
      </w:r>
      <w:r w:rsidR="006B3321" w:rsidRPr="009F7D96">
        <w:rPr>
          <w:rFonts w:ascii="Arial" w:hAnsi="Arial" w:cs="Arial"/>
          <w:sz w:val="22"/>
          <w:szCs w:val="22"/>
        </w:rPr>
        <w:t>d</w:t>
      </w:r>
      <w:r w:rsidR="00D32F4C" w:rsidRPr="009F7D96">
        <w:rPr>
          <w:rFonts w:ascii="Arial" w:hAnsi="Arial" w:cs="Arial"/>
          <w:sz w:val="22"/>
          <w:szCs w:val="22"/>
        </w:rPr>
        <w:t>isease</w:t>
      </w:r>
      <w:r w:rsidR="006B3321" w:rsidRPr="009F7D96">
        <w:rPr>
          <w:rFonts w:ascii="Arial" w:hAnsi="Arial" w:cs="Arial"/>
          <w:sz w:val="22"/>
          <w:szCs w:val="22"/>
        </w:rPr>
        <w:t xml:space="preserve"> (DFD)</w:t>
      </w:r>
      <w:r w:rsidRPr="009F7D96">
        <w:rPr>
          <w:rFonts w:ascii="Arial" w:hAnsi="Arial" w:cs="Arial"/>
          <w:sz w:val="22"/>
          <w:szCs w:val="22"/>
        </w:rPr>
        <w:t xml:space="preserve"> often require complex </w:t>
      </w:r>
      <w:r w:rsidR="00656C4F" w:rsidRPr="009F7D96">
        <w:rPr>
          <w:rFonts w:ascii="Arial" w:hAnsi="Arial" w:cs="Arial"/>
          <w:sz w:val="22"/>
          <w:szCs w:val="22"/>
        </w:rPr>
        <w:t xml:space="preserve">and intensive </w:t>
      </w:r>
      <w:r w:rsidRPr="009F7D96">
        <w:rPr>
          <w:rFonts w:ascii="Arial" w:hAnsi="Arial" w:cs="Arial"/>
          <w:sz w:val="22"/>
          <w:szCs w:val="22"/>
        </w:rPr>
        <w:t xml:space="preserve">diabetes management. The Central Foot Hub Diabetes Model-of-Care (MOC) </w:t>
      </w:r>
      <w:r w:rsidR="00656C4F" w:rsidRPr="009F7D96">
        <w:rPr>
          <w:rFonts w:ascii="Arial" w:hAnsi="Arial" w:cs="Arial"/>
          <w:sz w:val="22"/>
          <w:szCs w:val="22"/>
        </w:rPr>
        <w:t>jointly delivered by</w:t>
      </w:r>
      <w:r w:rsidRPr="009F7D96">
        <w:rPr>
          <w:rFonts w:ascii="Arial" w:hAnsi="Arial" w:cs="Arial"/>
          <w:sz w:val="22"/>
          <w:szCs w:val="22"/>
        </w:rPr>
        <w:t xml:space="preserve"> </w:t>
      </w:r>
      <w:r w:rsidR="009F0C12" w:rsidRPr="009F7D96">
        <w:rPr>
          <w:rFonts w:ascii="Arial" w:hAnsi="Arial" w:cs="Arial"/>
          <w:sz w:val="22"/>
          <w:szCs w:val="22"/>
        </w:rPr>
        <w:t>E</w:t>
      </w:r>
      <w:r w:rsidRPr="009F7D96">
        <w:rPr>
          <w:rFonts w:ascii="Arial" w:hAnsi="Arial" w:cs="Arial"/>
          <w:sz w:val="22"/>
          <w:szCs w:val="22"/>
        </w:rPr>
        <w:t xml:space="preserve">ndocrinology and </w:t>
      </w:r>
      <w:r w:rsidR="009F0C12" w:rsidRPr="009F7D96">
        <w:rPr>
          <w:rFonts w:ascii="Arial" w:hAnsi="Arial" w:cs="Arial"/>
          <w:sz w:val="22"/>
          <w:szCs w:val="22"/>
        </w:rPr>
        <w:t>D</w:t>
      </w:r>
      <w:r w:rsidRPr="009F7D96">
        <w:rPr>
          <w:rFonts w:ascii="Arial" w:hAnsi="Arial" w:cs="Arial"/>
          <w:sz w:val="22"/>
          <w:szCs w:val="22"/>
        </w:rPr>
        <w:t xml:space="preserve">iabetes </w:t>
      </w:r>
      <w:r w:rsidR="009F0C12" w:rsidRPr="009F7D96">
        <w:rPr>
          <w:rFonts w:ascii="Arial" w:hAnsi="Arial" w:cs="Arial"/>
          <w:sz w:val="22"/>
          <w:szCs w:val="22"/>
        </w:rPr>
        <w:t>E</w:t>
      </w:r>
      <w:r w:rsidRPr="009F7D96">
        <w:rPr>
          <w:rFonts w:ascii="Arial" w:hAnsi="Arial" w:cs="Arial"/>
          <w:sz w:val="22"/>
          <w:szCs w:val="22"/>
        </w:rPr>
        <w:t xml:space="preserve">ducation </w:t>
      </w:r>
      <w:r w:rsidR="00D32F4C" w:rsidRPr="009F7D96">
        <w:rPr>
          <w:rFonts w:ascii="Arial" w:hAnsi="Arial" w:cs="Arial"/>
          <w:sz w:val="22"/>
          <w:szCs w:val="22"/>
        </w:rPr>
        <w:t xml:space="preserve">leveraged </w:t>
      </w:r>
      <w:r w:rsidRPr="009F7D96">
        <w:rPr>
          <w:rFonts w:ascii="Arial" w:hAnsi="Arial" w:cs="Arial"/>
          <w:sz w:val="22"/>
          <w:szCs w:val="22"/>
        </w:rPr>
        <w:t>continuous glucose monitoring (CGM)</w:t>
      </w:r>
      <w:r w:rsidR="00D32F4C" w:rsidRPr="009F7D96">
        <w:rPr>
          <w:rFonts w:ascii="Arial" w:hAnsi="Arial" w:cs="Arial"/>
          <w:sz w:val="22"/>
          <w:szCs w:val="22"/>
        </w:rPr>
        <w:t xml:space="preserve"> to provide </w:t>
      </w:r>
      <w:r w:rsidR="00E44253" w:rsidRPr="009F7D96">
        <w:rPr>
          <w:rFonts w:ascii="Arial" w:hAnsi="Arial" w:cs="Arial"/>
          <w:sz w:val="22"/>
          <w:szCs w:val="22"/>
        </w:rPr>
        <w:t>virtual</w:t>
      </w:r>
      <w:r w:rsidR="00656C4F" w:rsidRPr="009F7D96">
        <w:rPr>
          <w:rFonts w:ascii="Arial" w:hAnsi="Arial" w:cs="Arial"/>
          <w:sz w:val="22"/>
          <w:szCs w:val="22"/>
        </w:rPr>
        <w:t>, multi-disciplinary</w:t>
      </w:r>
      <w:r w:rsidR="00E44253" w:rsidRPr="009F7D96">
        <w:rPr>
          <w:rFonts w:ascii="Arial" w:hAnsi="Arial" w:cs="Arial"/>
          <w:sz w:val="22"/>
          <w:szCs w:val="22"/>
        </w:rPr>
        <w:t xml:space="preserve"> </w:t>
      </w:r>
      <w:r w:rsidR="006B3321" w:rsidRPr="009F7D96">
        <w:rPr>
          <w:rFonts w:ascii="Arial" w:hAnsi="Arial" w:cs="Arial"/>
          <w:sz w:val="22"/>
          <w:szCs w:val="22"/>
        </w:rPr>
        <w:t xml:space="preserve">diabetes </w:t>
      </w:r>
      <w:r w:rsidR="00D32F4C" w:rsidRPr="009F7D96">
        <w:rPr>
          <w:rFonts w:ascii="Arial" w:hAnsi="Arial" w:cs="Arial"/>
          <w:sz w:val="22"/>
          <w:szCs w:val="22"/>
        </w:rPr>
        <w:t xml:space="preserve">care </w:t>
      </w:r>
      <w:r w:rsidR="00656C4F" w:rsidRPr="009F7D96">
        <w:rPr>
          <w:rFonts w:ascii="Arial" w:hAnsi="Arial" w:cs="Arial"/>
          <w:sz w:val="22"/>
          <w:szCs w:val="22"/>
        </w:rPr>
        <w:t>for people</w:t>
      </w:r>
      <w:r w:rsidR="00E44253" w:rsidRPr="009F7D96">
        <w:rPr>
          <w:rFonts w:ascii="Arial" w:hAnsi="Arial" w:cs="Arial"/>
          <w:sz w:val="22"/>
          <w:szCs w:val="22"/>
        </w:rPr>
        <w:t xml:space="preserve"> living in</w:t>
      </w:r>
      <w:r w:rsidR="00D32F4C" w:rsidRPr="009F7D96">
        <w:rPr>
          <w:rFonts w:ascii="Arial" w:hAnsi="Arial" w:cs="Arial"/>
          <w:sz w:val="22"/>
          <w:szCs w:val="22"/>
        </w:rPr>
        <w:t xml:space="preserve"> Central Queensland</w:t>
      </w:r>
      <w:r w:rsidRPr="009F7D96">
        <w:rPr>
          <w:rFonts w:ascii="Arial" w:hAnsi="Arial" w:cs="Arial"/>
          <w:sz w:val="22"/>
          <w:szCs w:val="22"/>
        </w:rPr>
        <w:t>. Th</w:t>
      </w:r>
      <w:r w:rsidR="00656C4F" w:rsidRPr="009F7D96">
        <w:rPr>
          <w:rFonts w:ascii="Arial" w:hAnsi="Arial" w:cs="Arial"/>
          <w:sz w:val="22"/>
          <w:szCs w:val="22"/>
        </w:rPr>
        <w:t xml:space="preserve">is </w:t>
      </w:r>
      <w:r w:rsidRPr="009F7D96">
        <w:rPr>
          <w:rFonts w:ascii="Arial" w:hAnsi="Arial" w:cs="Arial"/>
          <w:sz w:val="22"/>
          <w:szCs w:val="22"/>
        </w:rPr>
        <w:t>study</w:t>
      </w:r>
      <w:r w:rsidR="00656C4F" w:rsidRPr="009F7D96">
        <w:rPr>
          <w:rFonts w:ascii="Arial" w:hAnsi="Arial" w:cs="Arial"/>
          <w:sz w:val="22"/>
          <w:szCs w:val="22"/>
        </w:rPr>
        <w:t xml:space="preserve"> evaluated changes in</w:t>
      </w:r>
      <w:r w:rsidRPr="009F7D96">
        <w:rPr>
          <w:rFonts w:ascii="Arial" w:hAnsi="Arial" w:cs="Arial"/>
          <w:sz w:val="22"/>
          <w:szCs w:val="22"/>
        </w:rPr>
        <w:t xml:space="preserve"> </w:t>
      </w:r>
      <w:r w:rsidR="00656C4F" w:rsidRPr="009F7D96">
        <w:rPr>
          <w:rFonts w:ascii="Arial" w:hAnsi="Arial" w:cs="Arial"/>
          <w:sz w:val="22"/>
          <w:szCs w:val="22"/>
        </w:rPr>
        <w:t>CGM-derived</w:t>
      </w:r>
      <w:r w:rsidR="00D32F4C" w:rsidRPr="009F7D96">
        <w:rPr>
          <w:rFonts w:ascii="Arial" w:hAnsi="Arial" w:cs="Arial"/>
          <w:sz w:val="22"/>
          <w:szCs w:val="22"/>
        </w:rPr>
        <w:t xml:space="preserve"> metrics at</w:t>
      </w:r>
      <w:r w:rsidRPr="009F7D96">
        <w:rPr>
          <w:rFonts w:ascii="Arial" w:hAnsi="Arial" w:cs="Arial"/>
          <w:sz w:val="22"/>
          <w:szCs w:val="22"/>
        </w:rPr>
        <w:t xml:space="preserve"> MOC entry and exit. </w:t>
      </w:r>
    </w:p>
    <w:p w14:paraId="163EB847" w14:textId="6014919D" w:rsidR="00553A5E" w:rsidRPr="009F7D96" w:rsidRDefault="00553A5E" w:rsidP="009F7D96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9F7D96">
        <w:rPr>
          <w:rFonts w:ascii="Arial" w:hAnsi="Arial" w:cs="Arial"/>
          <w:sz w:val="22"/>
          <w:szCs w:val="22"/>
        </w:rPr>
        <w:t>Methods</w:t>
      </w:r>
    </w:p>
    <w:p w14:paraId="4ED05038" w14:textId="4C79015B" w:rsidR="00553A5E" w:rsidRPr="009F7D96" w:rsidRDefault="00656C4F" w:rsidP="009F7D96">
      <w:pPr>
        <w:spacing w:line="240" w:lineRule="auto"/>
        <w:rPr>
          <w:rFonts w:ascii="Arial" w:hAnsi="Arial" w:cs="Arial"/>
          <w:sz w:val="22"/>
          <w:szCs w:val="22"/>
        </w:rPr>
      </w:pPr>
      <w:r w:rsidRPr="009F7D96">
        <w:rPr>
          <w:rFonts w:ascii="Arial" w:hAnsi="Arial" w:cs="Arial"/>
          <w:sz w:val="22"/>
          <w:szCs w:val="22"/>
        </w:rPr>
        <w:t>We conducted a r</w:t>
      </w:r>
      <w:r w:rsidR="00E82A16" w:rsidRPr="009F7D96">
        <w:rPr>
          <w:rFonts w:ascii="Arial" w:hAnsi="Arial" w:cs="Arial"/>
          <w:sz w:val="22"/>
          <w:szCs w:val="22"/>
        </w:rPr>
        <w:t xml:space="preserve">etrospective </w:t>
      </w:r>
      <w:r w:rsidRPr="009F7D96">
        <w:rPr>
          <w:rFonts w:ascii="Arial" w:hAnsi="Arial" w:cs="Arial"/>
          <w:sz w:val="22"/>
          <w:szCs w:val="22"/>
        </w:rPr>
        <w:t>analysis</w:t>
      </w:r>
      <w:r w:rsidR="00E82A16" w:rsidRPr="009F7D96">
        <w:rPr>
          <w:rFonts w:ascii="Arial" w:hAnsi="Arial" w:cs="Arial"/>
          <w:sz w:val="22"/>
          <w:szCs w:val="22"/>
        </w:rPr>
        <w:t xml:space="preserve"> (HREC</w:t>
      </w:r>
      <w:r w:rsidR="00553A5E" w:rsidRPr="009F7D96">
        <w:rPr>
          <w:rFonts w:ascii="Arial" w:hAnsi="Arial" w:cs="Arial"/>
          <w:sz w:val="22"/>
          <w:szCs w:val="22"/>
        </w:rPr>
        <w:t>/2025/MNH/123069</w:t>
      </w:r>
      <w:r w:rsidR="00E82A16" w:rsidRPr="009F7D96">
        <w:rPr>
          <w:rFonts w:ascii="Arial" w:hAnsi="Arial" w:cs="Arial"/>
          <w:sz w:val="22"/>
          <w:szCs w:val="22"/>
        </w:rPr>
        <w:t xml:space="preserve">) </w:t>
      </w:r>
      <w:r w:rsidRPr="009F7D96">
        <w:rPr>
          <w:rFonts w:ascii="Arial" w:hAnsi="Arial" w:cs="Arial"/>
          <w:sz w:val="22"/>
          <w:szCs w:val="22"/>
        </w:rPr>
        <w:t xml:space="preserve">of </w:t>
      </w:r>
      <w:r w:rsidR="00155B48" w:rsidRPr="009F7D96">
        <w:rPr>
          <w:rFonts w:ascii="Arial" w:hAnsi="Arial" w:cs="Arial"/>
          <w:sz w:val="22"/>
          <w:szCs w:val="22"/>
        </w:rPr>
        <w:t xml:space="preserve">time-stamped CGM </w:t>
      </w:r>
      <w:r w:rsidR="00E82A16" w:rsidRPr="009F7D96">
        <w:rPr>
          <w:rFonts w:ascii="Arial" w:hAnsi="Arial" w:cs="Arial"/>
          <w:sz w:val="22"/>
          <w:szCs w:val="22"/>
        </w:rPr>
        <w:t xml:space="preserve">data extracted from cloud-based software </w:t>
      </w:r>
      <w:r w:rsidR="00155B48" w:rsidRPr="009F7D96">
        <w:rPr>
          <w:rFonts w:ascii="Arial" w:hAnsi="Arial" w:cs="Arial"/>
          <w:sz w:val="22"/>
          <w:szCs w:val="22"/>
        </w:rPr>
        <w:t xml:space="preserve">corroborated with </w:t>
      </w:r>
      <w:r w:rsidR="00E82A16" w:rsidRPr="009F7D96">
        <w:rPr>
          <w:rFonts w:ascii="Arial" w:hAnsi="Arial" w:cs="Arial"/>
          <w:sz w:val="22"/>
          <w:szCs w:val="22"/>
        </w:rPr>
        <w:t>electronic medical records</w:t>
      </w:r>
      <w:r w:rsidR="00553A5E" w:rsidRPr="009F7D96">
        <w:rPr>
          <w:rFonts w:ascii="Arial" w:hAnsi="Arial" w:cs="Arial"/>
          <w:sz w:val="22"/>
          <w:szCs w:val="22"/>
        </w:rPr>
        <w:t xml:space="preserve"> for all adults with </w:t>
      </w:r>
      <w:r w:rsidR="00E44253" w:rsidRPr="009F7D96">
        <w:rPr>
          <w:rFonts w:ascii="Arial" w:hAnsi="Arial" w:cs="Arial"/>
          <w:sz w:val="22"/>
          <w:szCs w:val="22"/>
        </w:rPr>
        <w:t xml:space="preserve">T2D </w:t>
      </w:r>
      <w:r w:rsidR="00835E5B" w:rsidRPr="009F7D96">
        <w:rPr>
          <w:rFonts w:ascii="Arial" w:hAnsi="Arial" w:cs="Arial"/>
          <w:sz w:val="22"/>
          <w:szCs w:val="22"/>
        </w:rPr>
        <w:t xml:space="preserve">on insulin </w:t>
      </w:r>
      <w:r w:rsidR="00E44253" w:rsidRPr="009F7D96">
        <w:rPr>
          <w:rFonts w:ascii="Arial" w:hAnsi="Arial" w:cs="Arial"/>
          <w:sz w:val="22"/>
          <w:szCs w:val="22"/>
        </w:rPr>
        <w:t xml:space="preserve">and </w:t>
      </w:r>
      <w:r w:rsidR="00553A5E" w:rsidRPr="009F7D96">
        <w:rPr>
          <w:rFonts w:ascii="Arial" w:hAnsi="Arial" w:cs="Arial"/>
          <w:sz w:val="22"/>
          <w:szCs w:val="22"/>
        </w:rPr>
        <w:t>DFD</w:t>
      </w:r>
      <w:r w:rsidR="00577AF4" w:rsidRPr="009F7D96">
        <w:rPr>
          <w:rFonts w:ascii="Arial" w:hAnsi="Arial" w:cs="Arial"/>
          <w:sz w:val="22"/>
          <w:szCs w:val="22"/>
        </w:rPr>
        <w:t xml:space="preserve"> </w:t>
      </w:r>
      <w:r w:rsidR="006B3321" w:rsidRPr="009F7D96">
        <w:rPr>
          <w:rFonts w:ascii="Arial" w:hAnsi="Arial" w:cs="Arial"/>
          <w:sz w:val="22"/>
          <w:szCs w:val="22"/>
        </w:rPr>
        <w:t xml:space="preserve">who engaged with </w:t>
      </w:r>
      <w:r w:rsidR="00E44253" w:rsidRPr="009F7D96">
        <w:rPr>
          <w:rFonts w:ascii="Arial" w:hAnsi="Arial" w:cs="Arial"/>
          <w:sz w:val="22"/>
          <w:szCs w:val="22"/>
        </w:rPr>
        <w:t>our</w:t>
      </w:r>
      <w:r w:rsidR="006B3321" w:rsidRPr="009F7D96">
        <w:rPr>
          <w:rFonts w:ascii="Arial" w:hAnsi="Arial" w:cs="Arial"/>
          <w:sz w:val="22"/>
          <w:szCs w:val="22"/>
        </w:rPr>
        <w:t xml:space="preserve"> MOC </w:t>
      </w:r>
      <w:r w:rsidRPr="009F7D96">
        <w:rPr>
          <w:rFonts w:ascii="Arial" w:hAnsi="Arial" w:cs="Arial"/>
          <w:sz w:val="22"/>
          <w:szCs w:val="22"/>
        </w:rPr>
        <w:t xml:space="preserve">between </w:t>
      </w:r>
      <w:r w:rsidR="00272A8E" w:rsidRPr="009F7D96">
        <w:rPr>
          <w:rFonts w:ascii="Arial" w:hAnsi="Arial" w:cs="Arial"/>
          <w:sz w:val="22"/>
          <w:szCs w:val="22"/>
        </w:rPr>
        <w:t>February 2024</w:t>
      </w:r>
      <w:r w:rsidR="00553A5E" w:rsidRPr="009F7D96">
        <w:rPr>
          <w:rFonts w:ascii="Arial" w:hAnsi="Arial" w:cs="Arial"/>
          <w:sz w:val="22"/>
          <w:szCs w:val="22"/>
        </w:rPr>
        <w:t xml:space="preserve"> </w:t>
      </w:r>
      <w:r w:rsidRPr="009F7D96">
        <w:rPr>
          <w:rFonts w:ascii="Arial" w:hAnsi="Arial" w:cs="Arial"/>
          <w:sz w:val="22"/>
          <w:szCs w:val="22"/>
        </w:rPr>
        <w:t>and</w:t>
      </w:r>
      <w:r w:rsidR="00553A5E" w:rsidRPr="009F7D96">
        <w:rPr>
          <w:rFonts w:ascii="Arial" w:hAnsi="Arial" w:cs="Arial"/>
          <w:sz w:val="22"/>
          <w:szCs w:val="22"/>
        </w:rPr>
        <w:t xml:space="preserve"> </w:t>
      </w:r>
      <w:r w:rsidR="006B3321" w:rsidRPr="009F7D96">
        <w:rPr>
          <w:rFonts w:ascii="Arial" w:hAnsi="Arial" w:cs="Arial"/>
          <w:sz w:val="22"/>
          <w:szCs w:val="22"/>
        </w:rPr>
        <w:t xml:space="preserve">November </w:t>
      </w:r>
      <w:r w:rsidR="00553A5E" w:rsidRPr="009F7D96">
        <w:rPr>
          <w:rFonts w:ascii="Arial" w:hAnsi="Arial" w:cs="Arial"/>
          <w:sz w:val="22"/>
          <w:szCs w:val="22"/>
        </w:rPr>
        <w:t xml:space="preserve">2025. </w:t>
      </w:r>
      <w:r w:rsidRPr="009F7D96">
        <w:rPr>
          <w:rFonts w:ascii="Arial" w:hAnsi="Arial" w:cs="Arial"/>
          <w:sz w:val="22"/>
          <w:szCs w:val="22"/>
        </w:rPr>
        <w:t xml:space="preserve">Participants received </w:t>
      </w:r>
      <w:r w:rsidR="009F0C12" w:rsidRPr="009F7D96">
        <w:rPr>
          <w:rFonts w:ascii="Arial" w:hAnsi="Arial" w:cs="Arial"/>
          <w:sz w:val="22"/>
          <w:szCs w:val="22"/>
        </w:rPr>
        <w:t xml:space="preserve">complimentary </w:t>
      </w:r>
      <w:r w:rsidR="000D5B26" w:rsidRPr="009F7D96">
        <w:rPr>
          <w:rFonts w:ascii="Arial" w:hAnsi="Arial" w:cs="Arial"/>
          <w:sz w:val="22"/>
          <w:szCs w:val="22"/>
        </w:rPr>
        <w:t xml:space="preserve">CGM </w:t>
      </w:r>
      <w:r w:rsidRPr="009F7D96">
        <w:rPr>
          <w:rFonts w:ascii="Arial" w:hAnsi="Arial" w:cs="Arial"/>
          <w:sz w:val="22"/>
          <w:szCs w:val="22"/>
        </w:rPr>
        <w:t>for up to</w:t>
      </w:r>
      <w:r w:rsidR="000D5B26" w:rsidRPr="009F7D96">
        <w:rPr>
          <w:rFonts w:ascii="Arial" w:hAnsi="Arial" w:cs="Arial"/>
          <w:sz w:val="22"/>
          <w:szCs w:val="22"/>
        </w:rPr>
        <w:t xml:space="preserve"> 3 months</w:t>
      </w:r>
      <w:r w:rsidR="00553A5E" w:rsidRPr="009F7D96">
        <w:rPr>
          <w:rFonts w:ascii="Arial" w:hAnsi="Arial" w:cs="Arial"/>
          <w:sz w:val="22"/>
          <w:szCs w:val="22"/>
        </w:rPr>
        <w:t xml:space="preserve">. </w:t>
      </w:r>
      <w:r w:rsidRPr="009F7D96">
        <w:rPr>
          <w:rFonts w:ascii="Arial" w:hAnsi="Arial" w:cs="Arial"/>
          <w:sz w:val="22"/>
          <w:szCs w:val="22"/>
        </w:rPr>
        <w:t xml:space="preserve">Glyceamic metrics from the first and last 7-day periods of CGM wear were compared within individuals. </w:t>
      </w:r>
    </w:p>
    <w:p w14:paraId="196C3030" w14:textId="77777777" w:rsidR="00553A5E" w:rsidRPr="009F7D96" w:rsidRDefault="00553A5E" w:rsidP="009F7D96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9F7D96">
        <w:rPr>
          <w:rFonts w:ascii="Arial" w:hAnsi="Arial" w:cs="Arial"/>
          <w:sz w:val="22"/>
          <w:szCs w:val="22"/>
        </w:rPr>
        <w:t>Results</w:t>
      </w:r>
    </w:p>
    <w:p w14:paraId="39156E58" w14:textId="41CC7356" w:rsidR="00553A5E" w:rsidRPr="009F7D96" w:rsidRDefault="00656C4F" w:rsidP="009F7D96">
      <w:pPr>
        <w:spacing w:line="240" w:lineRule="auto"/>
        <w:rPr>
          <w:rFonts w:ascii="Arial" w:hAnsi="Arial" w:cs="Arial"/>
          <w:sz w:val="22"/>
          <w:szCs w:val="22"/>
        </w:rPr>
      </w:pPr>
      <w:r w:rsidRPr="009F7D96">
        <w:rPr>
          <w:rFonts w:ascii="Arial" w:hAnsi="Arial" w:cs="Arial"/>
          <w:sz w:val="22"/>
          <w:szCs w:val="22"/>
        </w:rPr>
        <w:t>T</w:t>
      </w:r>
      <w:r w:rsidR="00E82A16" w:rsidRPr="009F7D96">
        <w:rPr>
          <w:rFonts w:ascii="Arial" w:hAnsi="Arial" w:cs="Arial"/>
          <w:sz w:val="22"/>
          <w:szCs w:val="22"/>
        </w:rPr>
        <w:t xml:space="preserve">otal of 44 adults </w:t>
      </w:r>
      <w:r w:rsidR="00272A8E" w:rsidRPr="009F7D96">
        <w:rPr>
          <w:rFonts w:ascii="Arial" w:hAnsi="Arial" w:cs="Arial"/>
          <w:sz w:val="22"/>
          <w:szCs w:val="22"/>
        </w:rPr>
        <w:t>(</w:t>
      </w:r>
      <w:r w:rsidRPr="009F7D96">
        <w:rPr>
          <w:rFonts w:ascii="Arial" w:hAnsi="Arial" w:cs="Arial"/>
          <w:sz w:val="22"/>
          <w:szCs w:val="22"/>
        </w:rPr>
        <w:t xml:space="preserve">including </w:t>
      </w:r>
      <w:r w:rsidR="00272A8E" w:rsidRPr="009F7D96">
        <w:rPr>
          <w:rFonts w:ascii="Arial" w:hAnsi="Arial" w:cs="Arial"/>
          <w:sz w:val="22"/>
          <w:szCs w:val="22"/>
        </w:rPr>
        <w:t>2 re-ulcerations)</w:t>
      </w:r>
      <w:r w:rsidR="00E82A16" w:rsidRPr="009F7D96">
        <w:rPr>
          <w:rFonts w:ascii="Arial" w:hAnsi="Arial" w:cs="Arial"/>
          <w:sz w:val="22"/>
          <w:szCs w:val="22"/>
        </w:rPr>
        <w:t xml:space="preserve"> </w:t>
      </w:r>
      <w:r w:rsidR="00553A5E" w:rsidRPr="009F7D96">
        <w:rPr>
          <w:rFonts w:ascii="Arial" w:hAnsi="Arial" w:cs="Arial"/>
          <w:sz w:val="22"/>
          <w:szCs w:val="22"/>
        </w:rPr>
        <w:t>were included</w:t>
      </w:r>
      <w:r w:rsidRPr="009F7D96">
        <w:rPr>
          <w:rFonts w:ascii="Arial" w:hAnsi="Arial" w:cs="Arial"/>
          <w:sz w:val="22"/>
          <w:szCs w:val="22"/>
        </w:rPr>
        <w:t>. M</w:t>
      </w:r>
      <w:r w:rsidR="00553A5E" w:rsidRPr="009F7D96">
        <w:rPr>
          <w:rFonts w:ascii="Arial" w:hAnsi="Arial" w:cs="Arial"/>
          <w:sz w:val="22"/>
          <w:szCs w:val="22"/>
        </w:rPr>
        <w:t xml:space="preserve">edian age </w:t>
      </w:r>
      <w:r w:rsidRPr="009F7D96">
        <w:rPr>
          <w:rFonts w:ascii="Arial" w:hAnsi="Arial" w:cs="Arial"/>
          <w:sz w:val="22"/>
          <w:szCs w:val="22"/>
        </w:rPr>
        <w:t xml:space="preserve">was </w:t>
      </w:r>
      <w:r w:rsidR="00272A8E" w:rsidRPr="009F7D96">
        <w:rPr>
          <w:rFonts w:ascii="Arial" w:hAnsi="Arial" w:cs="Arial"/>
          <w:sz w:val="22"/>
          <w:szCs w:val="22"/>
        </w:rPr>
        <w:t>64.5 years</w:t>
      </w:r>
      <w:r w:rsidR="00577AF4" w:rsidRPr="009F7D96">
        <w:rPr>
          <w:rFonts w:ascii="Arial" w:hAnsi="Arial" w:cs="Arial"/>
          <w:sz w:val="22"/>
          <w:szCs w:val="22"/>
        </w:rPr>
        <w:t xml:space="preserve"> and </w:t>
      </w:r>
      <w:r w:rsidR="00272A8E" w:rsidRPr="009F7D96">
        <w:rPr>
          <w:rFonts w:ascii="Arial" w:hAnsi="Arial" w:cs="Arial"/>
          <w:sz w:val="22"/>
          <w:szCs w:val="22"/>
        </w:rPr>
        <w:t xml:space="preserve">77.2% </w:t>
      </w:r>
      <w:r w:rsidRPr="009F7D96">
        <w:rPr>
          <w:rFonts w:ascii="Arial" w:hAnsi="Arial" w:cs="Arial"/>
          <w:sz w:val="22"/>
          <w:szCs w:val="22"/>
        </w:rPr>
        <w:t xml:space="preserve">were </w:t>
      </w:r>
      <w:r w:rsidR="00272A8E" w:rsidRPr="009F7D96">
        <w:rPr>
          <w:rFonts w:ascii="Arial" w:hAnsi="Arial" w:cs="Arial"/>
          <w:sz w:val="22"/>
          <w:szCs w:val="22"/>
        </w:rPr>
        <w:t>male</w:t>
      </w:r>
      <w:r w:rsidR="00577AF4" w:rsidRPr="009F7D96">
        <w:rPr>
          <w:rFonts w:ascii="Arial" w:hAnsi="Arial" w:cs="Arial"/>
          <w:sz w:val="22"/>
          <w:szCs w:val="22"/>
        </w:rPr>
        <w:t>. M</w:t>
      </w:r>
      <w:r w:rsidR="00272A8E" w:rsidRPr="009F7D96">
        <w:rPr>
          <w:rFonts w:ascii="Arial" w:hAnsi="Arial" w:cs="Arial"/>
          <w:sz w:val="22"/>
          <w:szCs w:val="22"/>
        </w:rPr>
        <w:t xml:space="preserve">edian </w:t>
      </w:r>
      <w:r w:rsidRPr="009F7D96">
        <w:rPr>
          <w:rFonts w:ascii="Arial" w:hAnsi="Arial" w:cs="Arial"/>
          <w:sz w:val="22"/>
          <w:szCs w:val="22"/>
        </w:rPr>
        <w:t xml:space="preserve">entry </w:t>
      </w:r>
      <w:r w:rsidR="00577AF4" w:rsidRPr="009F7D96">
        <w:rPr>
          <w:rFonts w:ascii="Arial" w:hAnsi="Arial" w:cs="Arial"/>
          <w:sz w:val="22"/>
          <w:szCs w:val="22"/>
        </w:rPr>
        <w:t xml:space="preserve">plasma </w:t>
      </w:r>
      <w:r w:rsidR="00272A8E" w:rsidRPr="009F7D96">
        <w:rPr>
          <w:rFonts w:ascii="Arial" w:hAnsi="Arial" w:cs="Arial"/>
          <w:sz w:val="22"/>
          <w:szCs w:val="22"/>
        </w:rPr>
        <w:t xml:space="preserve">HbA1c </w:t>
      </w:r>
      <w:r w:rsidRPr="009F7D96">
        <w:rPr>
          <w:rFonts w:ascii="Arial" w:hAnsi="Arial" w:cs="Arial"/>
          <w:sz w:val="22"/>
          <w:szCs w:val="22"/>
        </w:rPr>
        <w:t xml:space="preserve">was </w:t>
      </w:r>
      <w:r w:rsidR="00272A8E" w:rsidRPr="009F7D96">
        <w:rPr>
          <w:rFonts w:ascii="Arial" w:hAnsi="Arial" w:cs="Arial"/>
          <w:sz w:val="22"/>
          <w:szCs w:val="22"/>
        </w:rPr>
        <w:t>9.4% (IQR 8-11%)</w:t>
      </w:r>
      <w:r w:rsidR="00577AF4" w:rsidRPr="009F7D96">
        <w:rPr>
          <w:rFonts w:ascii="Arial" w:hAnsi="Arial" w:cs="Arial"/>
          <w:sz w:val="22"/>
          <w:szCs w:val="22"/>
        </w:rPr>
        <w:t xml:space="preserve"> which reduced to CGM-derived estimated A1c of </w:t>
      </w:r>
      <w:r w:rsidRPr="009F7D96">
        <w:rPr>
          <w:rFonts w:ascii="Arial" w:hAnsi="Arial" w:cs="Arial"/>
          <w:sz w:val="22"/>
          <w:szCs w:val="22"/>
        </w:rPr>
        <w:t>8.1%</w:t>
      </w:r>
      <w:r w:rsidR="00577AF4" w:rsidRPr="009F7D96">
        <w:rPr>
          <w:rFonts w:ascii="Arial" w:hAnsi="Arial" w:cs="Arial"/>
          <w:sz w:val="22"/>
          <w:szCs w:val="22"/>
        </w:rPr>
        <w:t xml:space="preserve"> after </w:t>
      </w:r>
      <w:r w:rsidR="001E5B8A" w:rsidRPr="009F7D96">
        <w:rPr>
          <w:rFonts w:ascii="Arial" w:hAnsi="Arial" w:cs="Arial"/>
          <w:sz w:val="22"/>
          <w:szCs w:val="22"/>
        </w:rPr>
        <w:t>1-week</w:t>
      </w:r>
      <w:r w:rsidR="00577AF4" w:rsidRPr="009F7D96">
        <w:rPr>
          <w:rFonts w:ascii="Arial" w:hAnsi="Arial" w:cs="Arial"/>
          <w:sz w:val="22"/>
          <w:szCs w:val="22"/>
        </w:rPr>
        <w:t xml:space="preserve"> and further to 7.8% after 12-weeks. </w:t>
      </w:r>
      <w:r w:rsidRPr="009F7D96">
        <w:rPr>
          <w:rFonts w:ascii="Arial" w:hAnsi="Arial" w:cs="Arial"/>
          <w:sz w:val="22"/>
          <w:szCs w:val="22"/>
        </w:rPr>
        <w:t xml:space="preserve">Sensor wear exceeded 95% at </w:t>
      </w:r>
      <w:r w:rsidR="00835E5B" w:rsidRPr="009F7D96">
        <w:rPr>
          <w:rFonts w:ascii="Arial" w:hAnsi="Arial" w:cs="Arial"/>
          <w:sz w:val="22"/>
          <w:szCs w:val="22"/>
        </w:rPr>
        <w:t xml:space="preserve">MOC </w:t>
      </w:r>
      <w:r w:rsidRPr="009F7D96">
        <w:rPr>
          <w:rFonts w:ascii="Arial" w:hAnsi="Arial" w:cs="Arial"/>
          <w:sz w:val="22"/>
          <w:szCs w:val="22"/>
        </w:rPr>
        <w:t xml:space="preserve">entry and exit demonstrating strong uptake and engagement with virtual CGM-supported care. </w:t>
      </w:r>
    </w:p>
    <w:p w14:paraId="3BFCCBCE" w14:textId="1F58AE2A" w:rsidR="00155B48" w:rsidRPr="009F7D96" w:rsidRDefault="00155B48" w:rsidP="009F7D96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9F7D96">
        <w:rPr>
          <w:rFonts w:ascii="Arial" w:hAnsi="Arial" w:cs="Arial"/>
          <w:sz w:val="22"/>
          <w:szCs w:val="22"/>
        </w:rPr>
        <w:t>Conclusion</w:t>
      </w:r>
    </w:p>
    <w:p w14:paraId="49EB954D" w14:textId="209C2506" w:rsidR="00553A5E" w:rsidRPr="009F7D96" w:rsidRDefault="006B3321" w:rsidP="009F7D96">
      <w:pPr>
        <w:spacing w:line="240" w:lineRule="auto"/>
        <w:rPr>
          <w:rFonts w:ascii="Arial" w:hAnsi="Arial" w:cs="Arial"/>
          <w:sz w:val="22"/>
          <w:szCs w:val="22"/>
        </w:rPr>
      </w:pPr>
      <w:r w:rsidRPr="009F7D96">
        <w:rPr>
          <w:rFonts w:ascii="Arial" w:hAnsi="Arial" w:cs="Arial"/>
          <w:sz w:val="22"/>
          <w:szCs w:val="22"/>
        </w:rPr>
        <w:t xml:space="preserve">We found adults living with T2D </w:t>
      </w:r>
      <w:r w:rsidR="00835E5B" w:rsidRPr="009F7D96">
        <w:rPr>
          <w:rFonts w:ascii="Arial" w:hAnsi="Arial" w:cs="Arial"/>
          <w:sz w:val="22"/>
          <w:szCs w:val="22"/>
        </w:rPr>
        <w:t xml:space="preserve">on insulin </w:t>
      </w:r>
      <w:r w:rsidR="00C77E26" w:rsidRPr="009F7D96">
        <w:rPr>
          <w:rFonts w:ascii="Arial" w:hAnsi="Arial" w:cs="Arial"/>
          <w:sz w:val="22"/>
          <w:szCs w:val="22"/>
        </w:rPr>
        <w:t>with</w:t>
      </w:r>
      <w:r w:rsidRPr="009F7D96">
        <w:rPr>
          <w:rFonts w:ascii="Arial" w:hAnsi="Arial" w:cs="Arial"/>
          <w:sz w:val="22"/>
          <w:szCs w:val="22"/>
        </w:rPr>
        <w:t xml:space="preserve"> active DFD </w:t>
      </w:r>
      <w:r w:rsidR="00C77E26" w:rsidRPr="009F7D96">
        <w:rPr>
          <w:rFonts w:ascii="Arial" w:hAnsi="Arial" w:cs="Arial"/>
          <w:sz w:val="22"/>
          <w:szCs w:val="22"/>
        </w:rPr>
        <w:t xml:space="preserve">who </w:t>
      </w:r>
      <w:r w:rsidRPr="009F7D96">
        <w:rPr>
          <w:rFonts w:ascii="Arial" w:hAnsi="Arial" w:cs="Arial"/>
          <w:sz w:val="22"/>
          <w:szCs w:val="22"/>
        </w:rPr>
        <w:t xml:space="preserve">engaged with our virtual MOC that leveraged CGM demonstrated </w:t>
      </w:r>
      <w:r w:rsidR="00577AF4" w:rsidRPr="009F7D96">
        <w:rPr>
          <w:rFonts w:ascii="Arial" w:hAnsi="Arial" w:cs="Arial"/>
          <w:sz w:val="22"/>
          <w:szCs w:val="22"/>
        </w:rPr>
        <w:t xml:space="preserve">clinically significant improvements in glycaemic management.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2268"/>
        <w:gridCol w:w="2410"/>
        <w:gridCol w:w="1366"/>
      </w:tblGrid>
      <w:tr w:rsidR="00553A5E" w:rsidRPr="009F7D96" w14:paraId="55F0FE3A" w14:textId="3F3E77D6" w:rsidTr="00C77E26">
        <w:tc>
          <w:tcPr>
            <w:tcW w:w="2977" w:type="dxa"/>
          </w:tcPr>
          <w:p w14:paraId="66026263" w14:textId="77777777" w:rsidR="00553A5E" w:rsidRPr="009F7D96" w:rsidRDefault="00553A5E" w:rsidP="009F7D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986E402" w14:textId="77777777" w:rsidR="00656C4F" w:rsidRPr="009F7D96" w:rsidRDefault="00553A5E" w:rsidP="009F7D9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7D96">
              <w:rPr>
                <w:rFonts w:ascii="Arial" w:hAnsi="Arial" w:cs="Arial"/>
                <w:b/>
                <w:bCs/>
                <w:sz w:val="22"/>
                <w:szCs w:val="22"/>
              </w:rPr>
              <w:t>MOC entry</w:t>
            </w:r>
            <w:r w:rsidR="00656C4F" w:rsidRPr="009F7D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4856D06" w14:textId="27725DD8" w:rsidR="00553A5E" w:rsidRPr="009F7D96" w:rsidRDefault="00656C4F" w:rsidP="009F7D9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7D96">
              <w:rPr>
                <w:rFonts w:ascii="Arial" w:hAnsi="Arial" w:cs="Arial"/>
                <w:b/>
                <w:bCs/>
                <w:sz w:val="22"/>
                <w:szCs w:val="22"/>
              </w:rPr>
              <w:t>median (IQR)</w:t>
            </w:r>
          </w:p>
        </w:tc>
        <w:tc>
          <w:tcPr>
            <w:tcW w:w="2410" w:type="dxa"/>
          </w:tcPr>
          <w:p w14:paraId="1D647B04" w14:textId="77777777" w:rsidR="00553A5E" w:rsidRPr="009F7D96" w:rsidRDefault="00553A5E" w:rsidP="009F7D9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7D96">
              <w:rPr>
                <w:rFonts w:ascii="Arial" w:hAnsi="Arial" w:cs="Arial"/>
                <w:b/>
                <w:bCs/>
                <w:sz w:val="22"/>
                <w:szCs w:val="22"/>
              </w:rPr>
              <w:t>MOC exit</w:t>
            </w:r>
          </w:p>
          <w:p w14:paraId="0DB438BA" w14:textId="32CFF7BC" w:rsidR="00656C4F" w:rsidRPr="009F7D96" w:rsidRDefault="00656C4F" w:rsidP="009F7D9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7D96">
              <w:rPr>
                <w:rFonts w:ascii="Arial" w:hAnsi="Arial" w:cs="Arial"/>
                <w:b/>
                <w:bCs/>
                <w:sz w:val="22"/>
                <w:szCs w:val="22"/>
              </w:rPr>
              <w:t>median (IQR)</w:t>
            </w:r>
          </w:p>
        </w:tc>
        <w:tc>
          <w:tcPr>
            <w:tcW w:w="1366" w:type="dxa"/>
          </w:tcPr>
          <w:p w14:paraId="5A882947" w14:textId="5CCB44F7" w:rsidR="00553A5E" w:rsidRPr="009F7D96" w:rsidRDefault="00553A5E" w:rsidP="009F7D9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7D96">
              <w:rPr>
                <w:rFonts w:ascii="Arial" w:hAnsi="Arial" w:cs="Arial"/>
                <w:b/>
                <w:bCs/>
                <w:sz w:val="22"/>
                <w:szCs w:val="22"/>
              </w:rPr>
              <w:t>Difference</w:t>
            </w:r>
          </w:p>
        </w:tc>
      </w:tr>
      <w:tr w:rsidR="00553A5E" w:rsidRPr="009F7D96" w14:paraId="6DEAA777" w14:textId="77777777" w:rsidTr="00C77E26">
        <w:tc>
          <w:tcPr>
            <w:tcW w:w="2977" w:type="dxa"/>
          </w:tcPr>
          <w:p w14:paraId="5C01EB01" w14:textId="1CEEC55B" w:rsidR="00553A5E" w:rsidRPr="009F7D96" w:rsidRDefault="00553A5E" w:rsidP="009F7D96">
            <w:pPr>
              <w:rPr>
                <w:rFonts w:ascii="Arial" w:hAnsi="Arial" w:cs="Arial"/>
                <w:sz w:val="22"/>
                <w:szCs w:val="22"/>
              </w:rPr>
            </w:pPr>
            <w:r w:rsidRPr="009F7D96">
              <w:rPr>
                <w:rFonts w:ascii="Arial" w:hAnsi="Arial" w:cs="Arial"/>
                <w:sz w:val="22"/>
                <w:szCs w:val="22"/>
              </w:rPr>
              <w:t>G</w:t>
            </w:r>
            <w:r w:rsidR="00656C4F" w:rsidRPr="009F7D96">
              <w:rPr>
                <w:rFonts w:ascii="Arial" w:hAnsi="Arial" w:cs="Arial"/>
                <w:sz w:val="22"/>
                <w:szCs w:val="22"/>
              </w:rPr>
              <w:t xml:space="preserve">lycaemic </w:t>
            </w:r>
            <w:r w:rsidRPr="009F7D96">
              <w:rPr>
                <w:rFonts w:ascii="Arial" w:hAnsi="Arial" w:cs="Arial"/>
                <w:sz w:val="22"/>
                <w:szCs w:val="22"/>
              </w:rPr>
              <w:t>M</w:t>
            </w:r>
            <w:r w:rsidR="00656C4F" w:rsidRPr="009F7D96">
              <w:rPr>
                <w:rFonts w:ascii="Arial" w:hAnsi="Arial" w:cs="Arial"/>
                <w:sz w:val="22"/>
                <w:szCs w:val="22"/>
              </w:rPr>
              <w:t xml:space="preserve">anagement </w:t>
            </w:r>
            <w:r w:rsidRPr="009F7D96">
              <w:rPr>
                <w:rFonts w:ascii="Arial" w:hAnsi="Arial" w:cs="Arial"/>
                <w:sz w:val="22"/>
                <w:szCs w:val="22"/>
              </w:rPr>
              <w:t>I</w:t>
            </w:r>
            <w:r w:rsidR="00656C4F" w:rsidRPr="009F7D96">
              <w:rPr>
                <w:rFonts w:ascii="Arial" w:hAnsi="Arial" w:cs="Arial"/>
                <w:sz w:val="22"/>
                <w:szCs w:val="22"/>
              </w:rPr>
              <w:t>ndicator</w:t>
            </w:r>
          </w:p>
        </w:tc>
        <w:tc>
          <w:tcPr>
            <w:tcW w:w="2268" w:type="dxa"/>
          </w:tcPr>
          <w:p w14:paraId="50A170E2" w14:textId="1AC111C2" w:rsidR="00553A5E" w:rsidRPr="009F7D96" w:rsidRDefault="00F374AF" w:rsidP="009F7D96">
            <w:pPr>
              <w:rPr>
                <w:rFonts w:ascii="Arial" w:hAnsi="Arial" w:cs="Arial"/>
                <w:sz w:val="22"/>
                <w:szCs w:val="22"/>
              </w:rPr>
            </w:pPr>
            <w:r w:rsidRPr="009F7D96">
              <w:rPr>
                <w:rFonts w:ascii="Arial" w:hAnsi="Arial" w:cs="Arial"/>
                <w:sz w:val="22"/>
                <w:szCs w:val="22"/>
              </w:rPr>
              <w:t>8.1</w:t>
            </w:r>
            <w:r w:rsidR="00553A5E" w:rsidRPr="009F7D96">
              <w:rPr>
                <w:rFonts w:ascii="Arial" w:hAnsi="Arial" w:cs="Arial"/>
                <w:sz w:val="22"/>
                <w:szCs w:val="22"/>
              </w:rPr>
              <w:t>%</w:t>
            </w:r>
            <w:r w:rsidR="002C51A9" w:rsidRPr="009F7D96">
              <w:rPr>
                <w:rFonts w:ascii="Arial" w:hAnsi="Arial" w:cs="Arial"/>
                <w:sz w:val="22"/>
                <w:szCs w:val="22"/>
              </w:rPr>
              <w:t xml:space="preserve"> (IR 7.1 – 9.2)</w:t>
            </w:r>
          </w:p>
        </w:tc>
        <w:tc>
          <w:tcPr>
            <w:tcW w:w="2410" w:type="dxa"/>
          </w:tcPr>
          <w:p w14:paraId="5C74810A" w14:textId="74B37827" w:rsidR="00553A5E" w:rsidRPr="009F7D96" w:rsidRDefault="00155B48" w:rsidP="009F7D96">
            <w:pPr>
              <w:rPr>
                <w:rFonts w:ascii="Arial" w:hAnsi="Arial" w:cs="Arial"/>
                <w:sz w:val="22"/>
                <w:szCs w:val="22"/>
              </w:rPr>
            </w:pPr>
            <w:r w:rsidRPr="009F7D96">
              <w:rPr>
                <w:rFonts w:ascii="Arial" w:hAnsi="Arial" w:cs="Arial"/>
                <w:sz w:val="22"/>
                <w:szCs w:val="22"/>
              </w:rPr>
              <w:t>7.</w:t>
            </w:r>
            <w:r w:rsidR="00F374AF" w:rsidRPr="009F7D96">
              <w:rPr>
                <w:rFonts w:ascii="Arial" w:hAnsi="Arial" w:cs="Arial"/>
                <w:sz w:val="22"/>
                <w:szCs w:val="22"/>
              </w:rPr>
              <w:t>8</w:t>
            </w:r>
            <w:r w:rsidR="00553A5E" w:rsidRPr="009F7D96">
              <w:rPr>
                <w:rFonts w:ascii="Arial" w:hAnsi="Arial" w:cs="Arial"/>
                <w:sz w:val="22"/>
                <w:szCs w:val="22"/>
              </w:rPr>
              <w:t>%</w:t>
            </w:r>
            <w:r w:rsidR="002C51A9" w:rsidRPr="009F7D96">
              <w:rPr>
                <w:rFonts w:ascii="Arial" w:hAnsi="Arial" w:cs="Arial"/>
                <w:sz w:val="22"/>
                <w:szCs w:val="22"/>
              </w:rPr>
              <w:t xml:space="preserve"> (IQR 6.7 – 8.7)</w:t>
            </w:r>
          </w:p>
        </w:tc>
        <w:tc>
          <w:tcPr>
            <w:tcW w:w="1366" w:type="dxa"/>
          </w:tcPr>
          <w:p w14:paraId="7C874EE5" w14:textId="7ECF5A8B" w:rsidR="00553A5E" w:rsidRPr="009F7D96" w:rsidRDefault="00155B48" w:rsidP="009F7D96">
            <w:pPr>
              <w:rPr>
                <w:rFonts w:ascii="Arial" w:hAnsi="Arial" w:cs="Arial"/>
                <w:sz w:val="22"/>
                <w:szCs w:val="22"/>
              </w:rPr>
            </w:pPr>
            <w:r w:rsidRPr="009F7D96">
              <w:rPr>
                <w:rFonts w:ascii="Arial" w:hAnsi="Arial" w:cs="Arial"/>
                <w:sz w:val="22"/>
                <w:szCs w:val="22"/>
              </w:rPr>
              <w:t>-</w:t>
            </w:r>
            <w:r w:rsidR="00F374AF" w:rsidRPr="009F7D96">
              <w:rPr>
                <w:rFonts w:ascii="Arial" w:hAnsi="Arial" w:cs="Arial"/>
                <w:sz w:val="22"/>
                <w:szCs w:val="22"/>
              </w:rPr>
              <w:t>0</w:t>
            </w:r>
            <w:r w:rsidRPr="009F7D96">
              <w:rPr>
                <w:rFonts w:ascii="Arial" w:hAnsi="Arial" w:cs="Arial"/>
                <w:sz w:val="22"/>
                <w:szCs w:val="22"/>
              </w:rPr>
              <w:t>.3%</w:t>
            </w:r>
          </w:p>
        </w:tc>
      </w:tr>
      <w:tr w:rsidR="00553A5E" w:rsidRPr="009F7D96" w14:paraId="4359E9B2" w14:textId="77777777" w:rsidTr="00C77E26">
        <w:tc>
          <w:tcPr>
            <w:tcW w:w="2977" w:type="dxa"/>
          </w:tcPr>
          <w:p w14:paraId="5CFE8E4C" w14:textId="014D1F01" w:rsidR="00553A5E" w:rsidRPr="009F7D96" w:rsidRDefault="00553A5E" w:rsidP="009F7D96">
            <w:pPr>
              <w:rPr>
                <w:rFonts w:ascii="Arial" w:hAnsi="Arial" w:cs="Arial"/>
                <w:sz w:val="22"/>
                <w:szCs w:val="22"/>
              </w:rPr>
            </w:pPr>
            <w:r w:rsidRPr="009F7D96">
              <w:rPr>
                <w:rFonts w:ascii="Arial" w:hAnsi="Arial" w:cs="Arial"/>
                <w:sz w:val="22"/>
                <w:szCs w:val="22"/>
              </w:rPr>
              <w:t>G</w:t>
            </w:r>
            <w:r w:rsidR="00656C4F" w:rsidRPr="009F7D96">
              <w:rPr>
                <w:rFonts w:ascii="Arial" w:hAnsi="Arial" w:cs="Arial"/>
                <w:sz w:val="22"/>
                <w:szCs w:val="22"/>
              </w:rPr>
              <w:t>lycaemic Variability</w:t>
            </w:r>
          </w:p>
        </w:tc>
        <w:tc>
          <w:tcPr>
            <w:tcW w:w="2268" w:type="dxa"/>
          </w:tcPr>
          <w:p w14:paraId="2CA5E103" w14:textId="4E564ED6" w:rsidR="00553A5E" w:rsidRPr="009F7D96" w:rsidRDefault="00F374AF" w:rsidP="009F7D96">
            <w:pPr>
              <w:rPr>
                <w:rFonts w:ascii="Arial" w:hAnsi="Arial" w:cs="Arial"/>
                <w:sz w:val="22"/>
                <w:szCs w:val="22"/>
              </w:rPr>
            </w:pPr>
            <w:r w:rsidRPr="009F7D96">
              <w:rPr>
                <w:rFonts w:ascii="Arial" w:hAnsi="Arial" w:cs="Arial"/>
                <w:sz w:val="22"/>
                <w:szCs w:val="22"/>
              </w:rPr>
              <w:t>27.9</w:t>
            </w:r>
            <w:r w:rsidR="00553A5E" w:rsidRPr="009F7D96">
              <w:rPr>
                <w:rFonts w:ascii="Arial" w:hAnsi="Arial" w:cs="Arial"/>
                <w:sz w:val="22"/>
                <w:szCs w:val="22"/>
              </w:rPr>
              <w:t>%</w:t>
            </w:r>
            <w:r w:rsidR="002C51A9" w:rsidRPr="009F7D96">
              <w:rPr>
                <w:rFonts w:ascii="Arial" w:hAnsi="Arial" w:cs="Arial"/>
                <w:sz w:val="22"/>
                <w:szCs w:val="22"/>
              </w:rPr>
              <w:t xml:space="preserve"> (21.8 – 33.9)</w:t>
            </w:r>
          </w:p>
        </w:tc>
        <w:tc>
          <w:tcPr>
            <w:tcW w:w="2410" w:type="dxa"/>
          </w:tcPr>
          <w:p w14:paraId="72B5FD0A" w14:textId="619E84F1" w:rsidR="00553A5E" w:rsidRPr="009F7D96" w:rsidRDefault="00F374AF" w:rsidP="009F7D96">
            <w:pPr>
              <w:rPr>
                <w:rFonts w:ascii="Arial" w:hAnsi="Arial" w:cs="Arial"/>
                <w:sz w:val="22"/>
                <w:szCs w:val="22"/>
              </w:rPr>
            </w:pPr>
            <w:r w:rsidRPr="009F7D96">
              <w:rPr>
                <w:rFonts w:ascii="Arial" w:hAnsi="Arial" w:cs="Arial"/>
                <w:sz w:val="22"/>
                <w:szCs w:val="22"/>
              </w:rPr>
              <w:t>26.2</w:t>
            </w:r>
            <w:r w:rsidR="00553A5E" w:rsidRPr="009F7D96">
              <w:rPr>
                <w:rFonts w:ascii="Arial" w:hAnsi="Arial" w:cs="Arial"/>
                <w:sz w:val="22"/>
                <w:szCs w:val="22"/>
              </w:rPr>
              <w:t>%</w:t>
            </w:r>
            <w:r w:rsidR="002C51A9" w:rsidRPr="009F7D96">
              <w:rPr>
                <w:rFonts w:ascii="Arial" w:hAnsi="Arial" w:cs="Arial"/>
                <w:sz w:val="22"/>
                <w:szCs w:val="22"/>
              </w:rPr>
              <w:t xml:space="preserve"> (24.1 – 33.8)</w:t>
            </w:r>
          </w:p>
        </w:tc>
        <w:tc>
          <w:tcPr>
            <w:tcW w:w="1366" w:type="dxa"/>
          </w:tcPr>
          <w:p w14:paraId="4AB95760" w14:textId="46923183" w:rsidR="00553A5E" w:rsidRPr="009F7D96" w:rsidRDefault="006B3321" w:rsidP="009F7D96">
            <w:pPr>
              <w:rPr>
                <w:rFonts w:ascii="Arial" w:hAnsi="Arial" w:cs="Arial"/>
                <w:sz w:val="22"/>
                <w:szCs w:val="22"/>
              </w:rPr>
            </w:pPr>
            <w:r w:rsidRPr="009F7D96">
              <w:rPr>
                <w:rFonts w:ascii="Arial" w:hAnsi="Arial" w:cs="Arial"/>
                <w:sz w:val="22"/>
                <w:szCs w:val="22"/>
              </w:rPr>
              <w:t>-</w:t>
            </w:r>
            <w:r w:rsidR="00F374AF" w:rsidRPr="009F7D96">
              <w:rPr>
                <w:rFonts w:ascii="Arial" w:hAnsi="Arial" w:cs="Arial"/>
                <w:sz w:val="22"/>
                <w:szCs w:val="22"/>
              </w:rPr>
              <w:t>1.7</w:t>
            </w:r>
            <w:r w:rsidR="00155B48" w:rsidRPr="009F7D96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553A5E" w:rsidRPr="009F7D96" w14:paraId="094B81A4" w14:textId="77777777" w:rsidTr="00C77E26">
        <w:tc>
          <w:tcPr>
            <w:tcW w:w="2977" w:type="dxa"/>
          </w:tcPr>
          <w:p w14:paraId="242D6232" w14:textId="011CDEB1" w:rsidR="00553A5E" w:rsidRPr="009F7D96" w:rsidRDefault="00553A5E" w:rsidP="009F7D96">
            <w:pPr>
              <w:rPr>
                <w:rFonts w:ascii="Arial" w:hAnsi="Arial" w:cs="Arial"/>
                <w:sz w:val="22"/>
                <w:szCs w:val="22"/>
              </w:rPr>
            </w:pPr>
            <w:r w:rsidRPr="009F7D96">
              <w:rPr>
                <w:rFonts w:ascii="Arial" w:hAnsi="Arial" w:cs="Arial"/>
                <w:sz w:val="22"/>
                <w:szCs w:val="22"/>
              </w:rPr>
              <w:t>T</w:t>
            </w:r>
            <w:r w:rsidR="00656C4F" w:rsidRPr="009F7D96">
              <w:rPr>
                <w:rFonts w:ascii="Arial" w:hAnsi="Arial" w:cs="Arial"/>
                <w:sz w:val="22"/>
                <w:szCs w:val="22"/>
              </w:rPr>
              <w:t>ime-in-Range</w:t>
            </w:r>
          </w:p>
        </w:tc>
        <w:tc>
          <w:tcPr>
            <w:tcW w:w="2268" w:type="dxa"/>
          </w:tcPr>
          <w:p w14:paraId="7C1CCFFB" w14:textId="1831F1B8" w:rsidR="00553A5E" w:rsidRPr="009F7D96" w:rsidRDefault="00F374AF" w:rsidP="009F7D96">
            <w:pPr>
              <w:rPr>
                <w:rFonts w:ascii="Arial" w:hAnsi="Arial" w:cs="Arial"/>
                <w:sz w:val="22"/>
                <w:szCs w:val="22"/>
              </w:rPr>
            </w:pPr>
            <w:r w:rsidRPr="009F7D96">
              <w:rPr>
                <w:rFonts w:ascii="Arial" w:hAnsi="Arial" w:cs="Arial"/>
                <w:sz w:val="22"/>
                <w:szCs w:val="22"/>
              </w:rPr>
              <w:t>38.5</w:t>
            </w:r>
            <w:r w:rsidR="00553A5E" w:rsidRPr="009F7D96">
              <w:rPr>
                <w:rFonts w:ascii="Arial" w:hAnsi="Arial" w:cs="Arial"/>
                <w:sz w:val="22"/>
                <w:szCs w:val="22"/>
              </w:rPr>
              <w:t>%</w:t>
            </w:r>
            <w:r w:rsidR="002C51A9" w:rsidRPr="009F7D96">
              <w:rPr>
                <w:rFonts w:ascii="Arial" w:hAnsi="Arial" w:cs="Arial"/>
                <w:sz w:val="22"/>
                <w:szCs w:val="22"/>
              </w:rPr>
              <w:t xml:space="preserve"> (19.6 – 70.3)</w:t>
            </w:r>
          </w:p>
        </w:tc>
        <w:tc>
          <w:tcPr>
            <w:tcW w:w="2410" w:type="dxa"/>
          </w:tcPr>
          <w:p w14:paraId="7863DCBF" w14:textId="2F29CD6D" w:rsidR="00553A5E" w:rsidRPr="009F7D96" w:rsidRDefault="00155B48" w:rsidP="009F7D96">
            <w:pPr>
              <w:rPr>
                <w:rFonts w:ascii="Arial" w:hAnsi="Arial" w:cs="Arial"/>
                <w:sz w:val="22"/>
                <w:szCs w:val="22"/>
              </w:rPr>
            </w:pPr>
            <w:r w:rsidRPr="009F7D96">
              <w:rPr>
                <w:rFonts w:ascii="Arial" w:hAnsi="Arial" w:cs="Arial"/>
                <w:sz w:val="22"/>
                <w:szCs w:val="22"/>
              </w:rPr>
              <w:t>48.</w:t>
            </w:r>
            <w:r w:rsidR="00F374AF" w:rsidRPr="009F7D96">
              <w:rPr>
                <w:rFonts w:ascii="Arial" w:hAnsi="Arial" w:cs="Arial"/>
                <w:sz w:val="22"/>
                <w:szCs w:val="22"/>
              </w:rPr>
              <w:t>9</w:t>
            </w:r>
            <w:r w:rsidRPr="009F7D96">
              <w:rPr>
                <w:rFonts w:ascii="Arial" w:hAnsi="Arial" w:cs="Arial"/>
                <w:sz w:val="22"/>
                <w:szCs w:val="22"/>
              </w:rPr>
              <w:t>%</w:t>
            </w:r>
            <w:r w:rsidR="002C51A9" w:rsidRPr="009F7D96">
              <w:rPr>
                <w:rFonts w:ascii="Arial" w:hAnsi="Arial" w:cs="Arial"/>
                <w:sz w:val="22"/>
                <w:szCs w:val="22"/>
              </w:rPr>
              <w:t xml:space="preserve"> (30.0 – 77.8)</w:t>
            </w:r>
          </w:p>
        </w:tc>
        <w:tc>
          <w:tcPr>
            <w:tcW w:w="1366" w:type="dxa"/>
          </w:tcPr>
          <w:p w14:paraId="2A18824D" w14:textId="095EF532" w:rsidR="00553A5E" w:rsidRPr="009F7D96" w:rsidRDefault="00155B48" w:rsidP="009F7D96">
            <w:pPr>
              <w:rPr>
                <w:rFonts w:ascii="Arial" w:hAnsi="Arial" w:cs="Arial"/>
                <w:sz w:val="22"/>
                <w:szCs w:val="22"/>
              </w:rPr>
            </w:pPr>
            <w:r w:rsidRPr="009F7D96">
              <w:rPr>
                <w:rFonts w:ascii="Arial" w:hAnsi="Arial" w:cs="Arial"/>
                <w:sz w:val="22"/>
                <w:szCs w:val="22"/>
              </w:rPr>
              <w:t>+</w:t>
            </w:r>
            <w:r w:rsidR="00F374AF" w:rsidRPr="009F7D96">
              <w:rPr>
                <w:rFonts w:ascii="Arial" w:hAnsi="Arial" w:cs="Arial"/>
                <w:sz w:val="22"/>
                <w:szCs w:val="22"/>
              </w:rPr>
              <w:t>10.4</w:t>
            </w:r>
            <w:r w:rsidRPr="009F7D96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553A5E" w:rsidRPr="009F7D96" w14:paraId="7E51B99E" w14:textId="77777777" w:rsidTr="00C77E26">
        <w:tc>
          <w:tcPr>
            <w:tcW w:w="2977" w:type="dxa"/>
          </w:tcPr>
          <w:p w14:paraId="28E983F3" w14:textId="12D2100B" w:rsidR="00553A5E" w:rsidRPr="009F7D96" w:rsidRDefault="00553A5E" w:rsidP="009F7D96">
            <w:pPr>
              <w:rPr>
                <w:rFonts w:ascii="Arial" w:hAnsi="Arial" w:cs="Arial"/>
                <w:sz w:val="22"/>
                <w:szCs w:val="22"/>
              </w:rPr>
            </w:pPr>
            <w:r w:rsidRPr="009F7D96">
              <w:rPr>
                <w:rFonts w:ascii="Arial" w:hAnsi="Arial" w:cs="Arial"/>
                <w:sz w:val="22"/>
                <w:szCs w:val="22"/>
              </w:rPr>
              <w:t>T</w:t>
            </w:r>
            <w:r w:rsidR="00656C4F" w:rsidRPr="009F7D96">
              <w:rPr>
                <w:rFonts w:ascii="Arial" w:hAnsi="Arial" w:cs="Arial"/>
                <w:sz w:val="22"/>
                <w:szCs w:val="22"/>
              </w:rPr>
              <w:t>ime-below-Range</w:t>
            </w:r>
          </w:p>
        </w:tc>
        <w:tc>
          <w:tcPr>
            <w:tcW w:w="2268" w:type="dxa"/>
          </w:tcPr>
          <w:p w14:paraId="2177CBC2" w14:textId="5ADDBD6C" w:rsidR="00553A5E" w:rsidRPr="009F7D96" w:rsidRDefault="00553A5E" w:rsidP="009F7D96">
            <w:pPr>
              <w:rPr>
                <w:rFonts w:ascii="Arial" w:hAnsi="Arial" w:cs="Arial"/>
                <w:sz w:val="22"/>
                <w:szCs w:val="22"/>
              </w:rPr>
            </w:pPr>
            <w:r w:rsidRPr="009F7D96">
              <w:rPr>
                <w:rFonts w:ascii="Arial" w:hAnsi="Arial" w:cs="Arial"/>
                <w:sz w:val="22"/>
                <w:szCs w:val="22"/>
              </w:rPr>
              <w:t>0%</w:t>
            </w:r>
            <w:r w:rsidR="002C51A9" w:rsidRPr="009F7D96">
              <w:rPr>
                <w:rFonts w:ascii="Arial" w:hAnsi="Arial" w:cs="Arial"/>
                <w:sz w:val="22"/>
                <w:szCs w:val="22"/>
              </w:rPr>
              <w:t xml:space="preserve"> (0 – 0.5)</w:t>
            </w:r>
          </w:p>
        </w:tc>
        <w:tc>
          <w:tcPr>
            <w:tcW w:w="2410" w:type="dxa"/>
          </w:tcPr>
          <w:p w14:paraId="0BD09A16" w14:textId="7745FA78" w:rsidR="00553A5E" w:rsidRPr="009F7D96" w:rsidRDefault="001461A7" w:rsidP="009F7D96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9F7D96">
              <w:rPr>
                <w:rFonts w:ascii="Arial" w:hAnsi="Arial" w:cs="Arial"/>
                <w:sz w:val="22"/>
                <w:szCs w:val="22"/>
              </w:rPr>
              <w:t xml:space="preserve">0.2% </w:t>
            </w:r>
            <w:r w:rsidR="002C51A9" w:rsidRPr="009F7D96">
              <w:rPr>
                <w:rFonts w:ascii="Arial" w:hAnsi="Arial" w:cs="Arial"/>
                <w:sz w:val="22"/>
                <w:szCs w:val="22"/>
              </w:rPr>
              <w:t>(0 – 0.8)</w:t>
            </w:r>
          </w:p>
        </w:tc>
        <w:tc>
          <w:tcPr>
            <w:tcW w:w="1366" w:type="dxa"/>
          </w:tcPr>
          <w:p w14:paraId="5CB3F1D7" w14:textId="082EB9CC" w:rsidR="00553A5E" w:rsidRPr="009F7D96" w:rsidRDefault="006B3321" w:rsidP="009F7D96">
            <w:pPr>
              <w:rPr>
                <w:rFonts w:ascii="Arial" w:hAnsi="Arial" w:cs="Arial"/>
                <w:sz w:val="22"/>
                <w:szCs w:val="22"/>
              </w:rPr>
            </w:pPr>
            <w:r w:rsidRPr="009F7D96">
              <w:rPr>
                <w:rFonts w:ascii="Arial" w:hAnsi="Arial" w:cs="Arial"/>
                <w:sz w:val="22"/>
                <w:szCs w:val="22"/>
              </w:rPr>
              <w:t>+</w:t>
            </w:r>
            <w:r w:rsidR="00155B48" w:rsidRPr="009F7D96">
              <w:rPr>
                <w:rFonts w:ascii="Arial" w:hAnsi="Arial" w:cs="Arial"/>
                <w:sz w:val="22"/>
                <w:szCs w:val="22"/>
              </w:rPr>
              <w:t>0</w:t>
            </w:r>
            <w:r w:rsidRPr="009F7D96">
              <w:rPr>
                <w:rFonts w:ascii="Arial" w:hAnsi="Arial" w:cs="Arial"/>
                <w:sz w:val="22"/>
                <w:szCs w:val="22"/>
              </w:rPr>
              <w:t>.2</w:t>
            </w:r>
            <w:r w:rsidR="00155B48" w:rsidRPr="009F7D96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553A5E" w:rsidRPr="009F7D96" w14:paraId="1D111647" w14:textId="77777777" w:rsidTr="00C77E26">
        <w:tc>
          <w:tcPr>
            <w:tcW w:w="2977" w:type="dxa"/>
          </w:tcPr>
          <w:p w14:paraId="2F899993" w14:textId="132B366C" w:rsidR="00553A5E" w:rsidRPr="009F7D96" w:rsidRDefault="00553A5E" w:rsidP="009F7D96">
            <w:pPr>
              <w:rPr>
                <w:rFonts w:ascii="Arial" w:hAnsi="Arial" w:cs="Arial"/>
                <w:sz w:val="22"/>
                <w:szCs w:val="22"/>
              </w:rPr>
            </w:pPr>
            <w:r w:rsidRPr="009F7D96">
              <w:rPr>
                <w:rFonts w:ascii="Arial" w:hAnsi="Arial" w:cs="Arial"/>
                <w:sz w:val="22"/>
                <w:szCs w:val="22"/>
              </w:rPr>
              <w:t>T</w:t>
            </w:r>
            <w:r w:rsidR="00656C4F" w:rsidRPr="009F7D96">
              <w:rPr>
                <w:rFonts w:ascii="Arial" w:hAnsi="Arial" w:cs="Arial"/>
                <w:sz w:val="22"/>
                <w:szCs w:val="22"/>
              </w:rPr>
              <w:t>ime-above-Range</w:t>
            </w:r>
          </w:p>
        </w:tc>
        <w:tc>
          <w:tcPr>
            <w:tcW w:w="2268" w:type="dxa"/>
          </w:tcPr>
          <w:p w14:paraId="4CD55CEA" w14:textId="5F4D251A" w:rsidR="00553A5E" w:rsidRPr="009F7D96" w:rsidRDefault="00F374AF" w:rsidP="009F7D96">
            <w:pPr>
              <w:rPr>
                <w:rFonts w:ascii="Arial" w:hAnsi="Arial" w:cs="Arial"/>
                <w:sz w:val="22"/>
                <w:szCs w:val="22"/>
              </w:rPr>
            </w:pPr>
            <w:r w:rsidRPr="009F7D96">
              <w:rPr>
                <w:rFonts w:ascii="Arial" w:hAnsi="Arial" w:cs="Arial"/>
                <w:sz w:val="22"/>
                <w:szCs w:val="22"/>
              </w:rPr>
              <w:t>62.5</w:t>
            </w:r>
            <w:r w:rsidR="00553A5E" w:rsidRPr="009F7D96">
              <w:rPr>
                <w:rFonts w:ascii="Arial" w:hAnsi="Arial" w:cs="Arial"/>
                <w:sz w:val="22"/>
                <w:szCs w:val="22"/>
              </w:rPr>
              <w:t>%</w:t>
            </w:r>
            <w:r w:rsidR="002C51A9" w:rsidRPr="009F7D96">
              <w:rPr>
                <w:rFonts w:ascii="Arial" w:hAnsi="Arial" w:cs="Arial"/>
                <w:sz w:val="22"/>
                <w:szCs w:val="22"/>
              </w:rPr>
              <w:t xml:space="preserve"> (28.1 – 81.3)</w:t>
            </w:r>
          </w:p>
        </w:tc>
        <w:tc>
          <w:tcPr>
            <w:tcW w:w="2410" w:type="dxa"/>
          </w:tcPr>
          <w:p w14:paraId="305A65E9" w14:textId="590CA730" w:rsidR="00553A5E" w:rsidRPr="009F7D96" w:rsidRDefault="00F374AF" w:rsidP="009F7D96">
            <w:pPr>
              <w:rPr>
                <w:rFonts w:ascii="Arial" w:hAnsi="Arial" w:cs="Arial"/>
                <w:sz w:val="22"/>
                <w:szCs w:val="22"/>
              </w:rPr>
            </w:pPr>
            <w:r w:rsidRPr="009F7D96">
              <w:rPr>
                <w:rFonts w:ascii="Arial" w:hAnsi="Arial" w:cs="Arial"/>
                <w:sz w:val="22"/>
                <w:szCs w:val="22"/>
              </w:rPr>
              <w:t>48.4</w:t>
            </w:r>
            <w:r w:rsidR="00155B48" w:rsidRPr="009F7D96">
              <w:rPr>
                <w:rFonts w:ascii="Arial" w:hAnsi="Arial" w:cs="Arial"/>
                <w:sz w:val="22"/>
                <w:szCs w:val="22"/>
              </w:rPr>
              <w:t>%</w:t>
            </w:r>
            <w:r w:rsidR="002C51A9" w:rsidRPr="009F7D96">
              <w:rPr>
                <w:rFonts w:ascii="Arial" w:hAnsi="Arial" w:cs="Arial"/>
                <w:sz w:val="22"/>
                <w:szCs w:val="22"/>
              </w:rPr>
              <w:t xml:space="preserve"> (18.1 – 69.7)</w:t>
            </w:r>
          </w:p>
        </w:tc>
        <w:tc>
          <w:tcPr>
            <w:tcW w:w="1366" w:type="dxa"/>
          </w:tcPr>
          <w:p w14:paraId="17045A83" w14:textId="40E120B8" w:rsidR="00553A5E" w:rsidRPr="009F7D96" w:rsidRDefault="00155B48" w:rsidP="009F7D96">
            <w:pPr>
              <w:rPr>
                <w:rFonts w:ascii="Arial" w:hAnsi="Arial" w:cs="Arial"/>
                <w:sz w:val="22"/>
                <w:szCs w:val="22"/>
              </w:rPr>
            </w:pPr>
            <w:r w:rsidRPr="009F7D96">
              <w:rPr>
                <w:rFonts w:ascii="Arial" w:hAnsi="Arial" w:cs="Arial"/>
                <w:sz w:val="22"/>
                <w:szCs w:val="22"/>
              </w:rPr>
              <w:t>-</w:t>
            </w:r>
            <w:r w:rsidR="00F374AF" w:rsidRPr="009F7D96">
              <w:rPr>
                <w:rFonts w:ascii="Arial" w:hAnsi="Arial" w:cs="Arial"/>
                <w:sz w:val="22"/>
                <w:szCs w:val="22"/>
              </w:rPr>
              <w:t>14.1</w:t>
            </w:r>
            <w:r w:rsidRPr="009F7D96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</w:tbl>
    <w:p w14:paraId="288821C0" w14:textId="77777777" w:rsidR="001A1823" w:rsidRPr="009F7D96" w:rsidRDefault="001A1823" w:rsidP="009F7D96">
      <w:pPr>
        <w:spacing w:line="240" w:lineRule="auto"/>
        <w:rPr>
          <w:rFonts w:ascii="Arial" w:hAnsi="Arial" w:cs="Arial"/>
          <w:sz w:val="22"/>
          <w:szCs w:val="22"/>
        </w:rPr>
      </w:pPr>
    </w:p>
    <w:sectPr w:rsidR="001A1823" w:rsidRPr="009F7D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0D7"/>
    <w:multiLevelType w:val="multilevel"/>
    <w:tmpl w:val="4076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F5154"/>
    <w:multiLevelType w:val="multilevel"/>
    <w:tmpl w:val="99E2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6067C1"/>
    <w:multiLevelType w:val="multilevel"/>
    <w:tmpl w:val="3260E9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72248B"/>
    <w:multiLevelType w:val="hybridMultilevel"/>
    <w:tmpl w:val="609236D2"/>
    <w:lvl w:ilvl="0" w:tplc="EA36DAFA"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C4516"/>
    <w:multiLevelType w:val="multilevel"/>
    <w:tmpl w:val="331E75F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A1343CC"/>
    <w:multiLevelType w:val="multilevel"/>
    <w:tmpl w:val="427A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171211">
    <w:abstractNumId w:val="2"/>
  </w:num>
  <w:num w:numId="2" w16cid:durableId="158889549">
    <w:abstractNumId w:val="5"/>
  </w:num>
  <w:num w:numId="3" w16cid:durableId="382484553">
    <w:abstractNumId w:val="0"/>
  </w:num>
  <w:num w:numId="4" w16cid:durableId="198713511">
    <w:abstractNumId w:val="1"/>
  </w:num>
  <w:num w:numId="5" w16cid:durableId="1013455592">
    <w:abstractNumId w:val="3"/>
  </w:num>
  <w:num w:numId="6" w16cid:durableId="397360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23"/>
    <w:rsid w:val="000D5B26"/>
    <w:rsid w:val="001461A7"/>
    <w:rsid w:val="00155B48"/>
    <w:rsid w:val="001A1823"/>
    <w:rsid w:val="001D74C4"/>
    <w:rsid w:val="001E5B8A"/>
    <w:rsid w:val="00205DF6"/>
    <w:rsid w:val="00272A8E"/>
    <w:rsid w:val="002C51A9"/>
    <w:rsid w:val="003B603A"/>
    <w:rsid w:val="00514B27"/>
    <w:rsid w:val="00553A5E"/>
    <w:rsid w:val="00577AF4"/>
    <w:rsid w:val="00656C4F"/>
    <w:rsid w:val="006B3321"/>
    <w:rsid w:val="00767DDB"/>
    <w:rsid w:val="007B121F"/>
    <w:rsid w:val="00835E5B"/>
    <w:rsid w:val="008F794B"/>
    <w:rsid w:val="009F0C12"/>
    <w:rsid w:val="009F7D96"/>
    <w:rsid w:val="00AC0756"/>
    <w:rsid w:val="00C77E26"/>
    <w:rsid w:val="00D12B5D"/>
    <w:rsid w:val="00D32F4C"/>
    <w:rsid w:val="00D634A6"/>
    <w:rsid w:val="00E059AB"/>
    <w:rsid w:val="00E44253"/>
    <w:rsid w:val="00E82A16"/>
    <w:rsid w:val="00F3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CF833"/>
  <w15:chartTrackingRefBased/>
  <w15:docId w15:val="{EAA9B1C7-BE94-4EA3-8ABC-828865C1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8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8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8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8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8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8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8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8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8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8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8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8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82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A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1A18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8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53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6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64B326-4BC9-4DC6-85B1-558F1E10F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6039B3-BE77-4FFF-8BB9-B880BEE3C7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931B0F-9778-493D-9417-40E166FABE75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Shanal Sharvani Kumar</dc:creator>
  <cp:keywords/>
  <dc:description/>
  <cp:lastModifiedBy>Tanya Yandall</cp:lastModifiedBy>
  <cp:revision>3</cp:revision>
  <dcterms:created xsi:type="dcterms:W3CDTF">2026-03-01T22:42:00Z</dcterms:created>
  <dcterms:modified xsi:type="dcterms:W3CDTF">2026-03-01T22:43:00Z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