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5"/>
      </w:tblGrid>
      <w:tr w:rsidR="001564A4" w:rsidRPr="0050053A" w14:paraId="5C38377B" w14:textId="77777777" w:rsidTr="00383748">
        <w:trPr>
          <w:trHeight w:val="464"/>
          <w:jc w:val="center"/>
        </w:trPr>
        <w:tc>
          <w:tcPr>
            <w:tcW w:w="8535" w:type="dxa"/>
            <w:shd w:val="clear" w:color="auto" w:fill="auto"/>
          </w:tcPr>
          <w:p w14:paraId="5C44F357" w14:textId="00437628" w:rsidR="001564A4" w:rsidRPr="001D1DB2" w:rsidRDefault="001D1DB2" w:rsidP="001D1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4BA9">
              <w:rPr>
                <w:rFonts w:ascii="Arial" w:hAnsi="Arial" w:cs="Arial"/>
                <w:b/>
                <w:sz w:val="22"/>
                <w:szCs w:val="22"/>
              </w:rPr>
              <w:t xml:space="preserve">Young children with cystic fibrosis and </w:t>
            </w:r>
            <w:proofErr w:type="spellStart"/>
            <w:r w:rsidRPr="00904BA9">
              <w:rPr>
                <w:rFonts w:ascii="Arial" w:hAnsi="Arial" w:cs="Arial"/>
                <w:b/>
                <w:sz w:val="22"/>
                <w:szCs w:val="22"/>
              </w:rPr>
              <w:t>tracheobronchomalacia</w:t>
            </w:r>
            <w:proofErr w:type="spellEnd"/>
            <w:r w:rsidRPr="00904B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29AC">
              <w:rPr>
                <w:rFonts w:ascii="Arial" w:hAnsi="Arial" w:cs="Arial"/>
                <w:b/>
                <w:sz w:val="22"/>
                <w:szCs w:val="22"/>
              </w:rPr>
              <w:t xml:space="preserve">have </w:t>
            </w:r>
            <w:r w:rsidR="003D38B9">
              <w:rPr>
                <w:rFonts w:ascii="Arial" w:hAnsi="Arial" w:cs="Arial"/>
                <w:b/>
                <w:sz w:val="22"/>
                <w:szCs w:val="22"/>
              </w:rPr>
              <w:t>longer and more frequent</w:t>
            </w:r>
            <w:r w:rsidR="00FC29AC">
              <w:rPr>
                <w:rFonts w:ascii="Arial" w:hAnsi="Arial" w:cs="Arial"/>
                <w:b/>
                <w:sz w:val="22"/>
                <w:szCs w:val="22"/>
              </w:rPr>
              <w:t xml:space="preserve"> hospital admissions</w:t>
            </w:r>
          </w:p>
        </w:tc>
      </w:tr>
      <w:tr w:rsidR="001564A4" w:rsidRPr="0050053A" w14:paraId="0E2E035C" w14:textId="77777777" w:rsidTr="00383748">
        <w:trPr>
          <w:trHeight w:val="479"/>
          <w:jc w:val="center"/>
        </w:trPr>
        <w:tc>
          <w:tcPr>
            <w:tcW w:w="8535" w:type="dxa"/>
            <w:shd w:val="clear" w:color="auto" w:fill="auto"/>
          </w:tcPr>
          <w:p w14:paraId="73B55295" w14:textId="055B0170" w:rsidR="001D1DB2" w:rsidRPr="00A83297" w:rsidRDefault="001D1DB2" w:rsidP="001D1DB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04BA9">
              <w:rPr>
                <w:rFonts w:ascii="Arial" w:hAnsi="Arial" w:cs="Arial"/>
                <w:sz w:val="22"/>
                <w:szCs w:val="22"/>
              </w:rPr>
              <w:t>Samantha Crute</w:t>
            </w:r>
            <w:r w:rsidR="00A8329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904BA9">
              <w:rPr>
                <w:rFonts w:ascii="Arial" w:hAnsi="Arial" w:cs="Arial"/>
                <w:sz w:val="22"/>
                <w:szCs w:val="22"/>
              </w:rPr>
              <w:t>, Crystal Bourke</w:t>
            </w:r>
            <w:r w:rsidR="00A8329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904BA9">
              <w:rPr>
                <w:rFonts w:ascii="Arial" w:hAnsi="Arial" w:cs="Arial"/>
                <w:sz w:val="22"/>
                <w:szCs w:val="22"/>
              </w:rPr>
              <w:t>, Adelaide Withers</w:t>
            </w:r>
            <w:r w:rsidR="00A83297">
              <w:rPr>
                <w:rFonts w:ascii="Arial" w:hAnsi="Arial" w:cs="Arial"/>
                <w:sz w:val="22"/>
                <w:szCs w:val="22"/>
                <w:vertAlign w:val="superscript"/>
              </w:rPr>
              <w:t>2,4</w:t>
            </w:r>
            <w:r w:rsidRPr="00904BA9">
              <w:rPr>
                <w:rFonts w:ascii="Arial" w:hAnsi="Arial" w:cs="Arial"/>
                <w:sz w:val="22"/>
                <w:szCs w:val="22"/>
              </w:rPr>
              <w:t>, Stephen Stick</w:t>
            </w:r>
            <w:r w:rsidR="00A83297">
              <w:rPr>
                <w:rFonts w:ascii="Arial" w:hAnsi="Arial" w:cs="Arial"/>
                <w:sz w:val="22"/>
                <w:szCs w:val="22"/>
                <w:vertAlign w:val="superscript"/>
              </w:rPr>
              <w:t>2,3,4</w:t>
            </w:r>
            <w:r w:rsidRPr="00904BA9">
              <w:rPr>
                <w:rFonts w:ascii="Arial" w:hAnsi="Arial" w:cs="Arial"/>
                <w:sz w:val="22"/>
                <w:szCs w:val="22"/>
              </w:rPr>
              <w:t>, Julie Depiazzi</w:t>
            </w:r>
            <w:r w:rsidR="00A83297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1564A4" w:rsidRPr="0050053A" w14:paraId="385A19D9" w14:textId="77777777" w:rsidTr="00383748">
        <w:trPr>
          <w:trHeight w:val="127"/>
          <w:jc w:val="center"/>
        </w:trPr>
        <w:tc>
          <w:tcPr>
            <w:tcW w:w="8535" w:type="dxa"/>
            <w:shd w:val="clear" w:color="auto" w:fill="auto"/>
          </w:tcPr>
          <w:p w14:paraId="4958C906" w14:textId="51FFAC1C" w:rsidR="001D1DB2" w:rsidRDefault="001D1DB2" w:rsidP="000A28E2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7CF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="001E7CF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Physiotherapy Department, </w:t>
            </w:r>
            <w:r w:rsidRPr="001E7CF4">
              <w:rPr>
                <w:rFonts w:ascii="Arial" w:hAnsi="Arial" w:cs="Arial"/>
                <w:i/>
                <w:iCs/>
                <w:sz w:val="22"/>
                <w:szCs w:val="22"/>
              </w:rPr>
              <w:t>Perth</w:t>
            </w:r>
            <w:r w:rsidRPr="001D1DB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Children’s Hospital </w:t>
            </w:r>
          </w:p>
          <w:p w14:paraId="587A9353" w14:textId="17195BF9" w:rsidR="001E7CF4" w:rsidRPr="001D1DB2" w:rsidRDefault="001E7CF4" w:rsidP="000A28E2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7CF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Respiratory Medicine Department, Perth Children’s Hospital</w:t>
            </w:r>
          </w:p>
          <w:p w14:paraId="0C02C27D" w14:textId="396889D8" w:rsidR="00CE4CBB" w:rsidRDefault="001E7CF4" w:rsidP="00CE4CB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="001D1DB2" w:rsidRPr="001D1DB2">
              <w:rPr>
                <w:rFonts w:ascii="Arial" w:hAnsi="Arial" w:cs="Arial"/>
                <w:i/>
                <w:iCs/>
                <w:sz w:val="22"/>
                <w:szCs w:val="22"/>
              </w:rPr>
              <w:t>Telethon Kids Institute</w:t>
            </w:r>
            <w:r w:rsidR="00CE4CBB">
              <w:rPr>
                <w:rFonts w:ascii="Arial" w:hAnsi="Arial" w:cs="Arial"/>
                <w:i/>
                <w:iCs/>
                <w:sz w:val="22"/>
                <w:szCs w:val="22"/>
              </w:rPr>
              <w:t>, Western Australia</w:t>
            </w:r>
            <w:r w:rsidR="001D1DB2" w:rsidRPr="001D1DB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45ED36BF" w14:textId="2B9244E3" w:rsidR="001564A4" w:rsidRPr="00D42D6B" w:rsidRDefault="00CE4CBB" w:rsidP="000A28E2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4CB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4</w:t>
            </w:r>
            <w:r w:rsidRPr="00CE4CBB">
              <w:rPr>
                <w:rFonts w:ascii="Arial" w:hAnsi="Arial" w:cs="Arial"/>
                <w:i/>
                <w:sz w:val="22"/>
                <w:szCs w:val="22"/>
                <w:lang w:val="en-US"/>
              </w:rPr>
              <w:t>Wal-yan Respiratory Research Centre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, Western Australia</w:t>
            </w:r>
          </w:p>
        </w:tc>
      </w:tr>
      <w:tr w:rsidR="001564A4" w:rsidRPr="0050053A" w14:paraId="6DAF615A" w14:textId="77777777" w:rsidTr="00383748">
        <w:trPr>
          <w:trHeight w:hRule="exact" w:val="10297"/>
          <w:jc w:val="center"/>
        </w:trPr>
        <w:tc>
          <w:tcPr>
            <w:tcW w:w="8535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FEDA549" w14:textId="249F6B2F" w:rsidR="001D1DB2" w:rsidRPr="001D1DB2" w:rsidRDefault="001D1DB2" w:rsidP="001D1DB2">
            <w:pPr>
              <w:rPr>
                <w:rFonts w:ascii="Arial" w:hAnsi="Arial" w:cs="Arial"/>
                <w:sz w:val="22"/>
                <w:szCs w:val="22"/>
              </w:rPr>
            </w:pPr>
            <w:r w:rsidRPr="001D1DB2">
              <w:rPr>
                <w:rFonts w:ascii="Arial" w:hAnsi="Arial" w:cs="Arial"/>
                <w:sz w:val="22"/>
                <w:szCs w:val="22"/>
              </w:rPr>
              <w:t xml:space="preserve">Tracheobronchomalacia (TBM) is frequently seen in </w:t>
            </w:r>
            <w:r w:rsidR="00F93043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Pr="001D1DB2">
              <w:rPr>
                <w:rFonts w:ascii="Arial" w:hAnsi="Arial" w:cs="Arial"/>
                <w:sz w:val="22"/>
                <w:szCs w:val="22"/>
              </w:rPr>
              <w:t>children with cystic fibrosis (CF</w:t>
            </w:r>
            <w:r w:rsidR="00571833" w:rsidRPr="001D1DB2">
              <w:rPr>
                <w:rFonts w:ascii="Arial" w:hAnsi="Arial" w:cs="Arial"/>
                <w:sz w:val="22"/>
                <w:szCs w:val="22"/>
              </w:rPr>
              <w:t>)</w:t>
            </w:r>
            <w:r w:rsidR="00DA644E">
              <w:rPr>
                <w:rFonts w:ascii="Arial" w:hAnsi="Arial" w:cs="Arial"/>
                <w:sz w:val="22"/>
                <w:szCs w:val="22"/>
              </w:rPr>
              <w:t>.</w:t>
            </w:r>
            <w:r w:rsidR="005718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3297">
              <w:rPr>
                <w:rFonts w:ascii="Arial" w:hAnsi="Arial" w:cs="Arial"/>
                <w:sz w:val="22"/>
                <w:szCs w:val="22"/>
              </w:rPr>
              <w:t xml:space="preserve">This study </w:t>
            </w:r>
            <w:r>
              <w:rPr>
                <w:rFonts w:ascii="Arial" w:hAnsi="Arial" w:cs="Arial"/>
                <w:sz w:val="22"/>
                <w:szCs w:val="22"/>
              </w:rPr>
              <w:t xml:space="preserve">aimed to </w:t>
            </w:r>
            <w:r w:rsidRPr="001D1DB2">
              <w:rPr>
                <w:rFonts w:ascii="Arial" w:hAnsi="Arial" w:cs="Arial"/>
                <w:sz w:val="22"/>
                <w:szCs w:val="22"/>
              </w:rPr>
              <w:t>determine</w:t>
            </w:r>
            <w:r w:rsidR="008D3905">
              <w:rPr>
                <w:rFonts w:ascii="Arial" w:hAnsi="Arial" w:cs="Arial"/>
                <w:sz w:val="22"/>
                <w:szCs w:val="22"/>
              </w:rPr>
              <w:t xml:space="preserve"> whether diagnosis of TBM with CF influenced</w:t>
            </w:r>
            <w:r w:rsidRPr="001D1DB2">
              <w:rPr>
                <w:rFonts w:ascii="Arial" w:hAnsi="Arial" w:cs="Arial"/>
                <w:sz w:val="22"/>
                <w:szCs w:val="22"/>
              </w:rPr>
              <w:t xml:space="preserve"> hospital admission</w:t>
            </w:r>
            <w:r w:rsidR="008D3905">
              <w:rPr>
                <w:rFonts w:ascii="Arial" w:hAnsi="Arial" w:cs="Arial"/>
                <w:sz w:val="22"/>
                <w:szCs w:val="22"/>
              </w:rPr>
              <w:t xml:space="preserve"> frequency, and length of stay (LOS).</w:t>
            </w:r>
          </w:p>
          <w:p w14:paraId="3D770CF7" w14:textId="7471D3A6" w:rsidR="001564A4" w:rsidRPr="001D1DB2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83D2F82" w14:textId="12333E52" w:rsidR="001D1DB2" w:rsidRPr="00904BA9" w:rsidRDefault="002677D3" w:rsidP="001D1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retrospective audit of m</w:t>
            </w:r>
            <w:r w:rsidR="007D058D">
              <w:rPr>
                <w:rFonts w:ascii="Arial" w:hAnsi="Arial" w:cs="Arial"/>
                <w:sz w:val="22"/>
                <w:szCs w:val="22"/>
              </w:rPr>
              <w:t xml:space="preserve">edical records </w:t>
            </w:r>
            <w:r w:rsidR="00A81667">
              <w:rPr>
                <w:rFonts w:ascii="Arial" w:hAnsi="Arial" w:cs="Arial"/>
                <w:sz w:val="22"/>
                <w:szCs w:val="22"/>
              </w:rPr>
              <w:t xml:space="preserve">was undertaken </w:t>
            </w:r>
            <w:r w:rsidR="000E41B0">
              <w:rPr>
                <w:rFonts w:ascii="Arial" w:hAnsi="Arial" w:cs="Arial"/>
                <w:sz w:val="22"/>
                <w:szCs w:val="22"/>
              </w:rPr>
              <w:t xml:space="preserve">for all </w:t>
            </w:r>
            <w:r w:rsidR="007D058D">
              <w:rPr>
                <w:rFonts w:ascii="Arial" w:hAnsi="Arial" w:cs="Arial"/>
                <w:sz w:val="22"/>
                <w:szCs w:val="22"/>
              </w:rPr>
              <w:t>c</w:t>
            </w:r>
            <w:r w:rsidR="001D1DB2" w:rsidRPr="00904BA9">
              <w:rPr>
                <w:rFonts w:ascii="Arial" w:hAnsi="Arial" w:cs="Arial"/>
                <w:sz w:val="22"/>
                <w:szCs w:val="22"/>
              </w:rPr>
              <w:t xml:space="preserve">hildren with CF born </w:t>
            </w:r>
            <w:r w:rsidR="00571833" w:rsidRPr="00904BA9">
              <w:rPr>
                <w:rFonts w:ascii="Arial" w:hAnsi="Arial" w:cs="Arial"/>
                <w:sz w:val="22"/>
                <w:szCs w:val="22"/>
              </w:rPr>
              <w:t xml:space="preserve">between </w:t>
            </w:r>
            <w:r w:rsidR="00571833">
              <w:rPr>
                <w:rFonts w:ascii="Arial" w:hAnsi="Arial" w:cs="Arial"/>
                <w:sz w:val="22"/>
                <w:szCs w:val="22"/>
              </w:rPr>
              <w:t>January</w:t>
            </w:r>
            <w:r w:rsidR="00A2009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EF58F1">
              <w:rPr>
                <w:rFonts w:ascii="Arial" w:hAnsi="Arial" w:cs="Arial"/>
                <w:sz w:val="22"/>
                <w:szCs w:val="22"/>
              </w:rPr>
              <w:t>09</w:t>
            </w:r>
            <w:r w:rsidR="001D1DB2" w:rsidRPr="00904BA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A20091">
              <w:rPr>
                <w:rFonts w:ascii="Arial" w:hAnsi="Arial" w:cs="Arial"/>
                <w:sz w:val="22"/>
                <w:szCs w:val="22"/>
              </w:rPr>
              <w:t xml:space="preserve"> June 20</w:t>
            </w:r>
            <w:r w:rsidR="004D1F43">
              <w:rPr>
                <w:rFonts w:ascii="Arial" w:hAnsi="Arial" w:cs="Arial"/>
                <w:sz w:val="22"/>
                <w:szCs w:val="22"/>
              </w:rPr>
              <w:t>19</w:t>
            </w:r>
            <w:r w:rsidR="00C25C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419B">
              <w:rPr>
                <w:rFonts w:ascii="Arial" w:hAnsi="Arial" w:cs="Arial"/>
                <w:sz w:val="22"/>
                <w:szCs w:val="22"/>
              </w:rPr>
              <w:t xml:space="preserve">receiving care in </w:t>
            </w:r>
            <w:r w:rsidR="003D38B9">
              <w:rPr>
                <w:rFonts w:ascii="Arial" w:hAnsi="Arial" w:cs="Arial"/>
                <w:sz w:val="22"/>
                <w:szCs w:val="22"/>
              </w:rPr>
              <w:t>Western Australia (WA)</w:t>
            </w:r>
            <w:r w:rsidR="0052419B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D1DB2" w:rsidRPr="00904BA9">
              <w:rPr>
                <w:rFonts w:ascii="Arial" w:hAnsi="Arial" w:cs="Arial"/>
                <w:sz w:val="22"/>
                <w:szCs w:val="22"/>
              </w:rPr>
              <w:t>umber</w:t>
            </w:r>
            <w:r w:rsidR="007D05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058D" w:rsidRPr="00904BA9">
              <w:rPr>
                <w:rFonts w:ascii="Arial" w:hAnsi="Arial" w:cs="Arial"/>
                <w:sz w:val="22"/>
                <w:szCs w:val="22"/>
              </w:rPr>
              <w:t>length,</w:t>
            </w:r>
            <w:r w:rsidR="001D1DB2" w:rsidRPr="00904BA9">
              <w:rPr>
                <w:rFonts w:ascii="Arial" w:hAnsi="Arial" w:cs="Arial"/>
                <w:sz w:val="22"/>
                <w:szCs w:val="22"/>
              </w:rPr>
              <w:t xml:space="preserve"> and reason for </w:t>
            </w:r>
            <w:r w:rsidR="001660D6">
              <w:rPr>
                <w:rFonts w:ascii="Arial" w:hAnsi="Arial" w:cs="Arial"/>
                <w:sz w:val="22"/>
                <w:szCs w:val="22"/>
              </w:rPr>
              <w:t xml:space="preserve">hospital </w:t>
            </w:r>
            <w:r w:rsidR="00DA644E">
              <w:rPr>
                <w:rFonts w:ascii="Arial" w:hAnsi="Arial" w:cs="Arial"/>
                <w:sz w:val="22"/>
                <w:szCs w:val="22"/>
              </w:rPr>
              <w:t>presentations</w:t>
            </w:r>
            <w:r w:rsidR="008E2F95">
              <w:rPr>
                <w:rFonts w:ascii="Arial" w:hAnsi="Arial" w:cs="Arial"/>
                <w:sz w:val="22"/>
                <w:szCs w:val="22"/>
              </w:rPr>
              <w:t xml:space="preserve"> &gt;24hours</w:t>
            </w:r>
            <w:r w:rsidR="00DA64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were collected</w:t>
            </w:r>
            <w:r w:rsidR="00D62CC6">
              <w:rPr>
                <w:rFonts w:ascii="Arial" w:hAnsi="Arial" w:cs="Arial"/>
                <w:sz w:val="22"/>
                <w:szCs w:val="22"/>
              </w:rPr>
              <w:t xml:space="preserve"> between the ages of 0</w:t>
            </w:r>
            <w:r w:rsidR="005D00BC">
              <w:rPr>
                <w:rFonts w:ascii="Arial" w:hAnsi="Arial" w:cs="Arial"/>
                <w:sz w:val="22"/>
                <w:szCs w:val="22"/>
              </w:rPr>
              <w:t>-</w:t>
            </w:r>
            <w:r w:rsidR="00D62CC6">
              <w:rPr>
                <w:rFonts w:ascii="Arial" w:hAnsi="Arial" w:cs="Arial"/>
                <w:sz w:val="22"/>
                <w:szCs w:val="22"/>
              </w:rPr>
              <w:t>4</w:t>
            </w:r>
            <w:r w:rsidR="001D1DB2" w:rsidRPr="00904B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A644E">
              <w:rPr>
                <w:rFonts w:ascii="Arial" w:hAnsi="Arial" w:cs="Arial"/>
                <w:sz w:val="22"/>
                <w:szCs w:val="22"/>
              </w:rPr>
              <w:t xml:space="preserve">Results were </w:t>
            </w:r>
            <w:r w:rsidR="0073082F">
              <w:rPr>
                <w:rFonts w:ascii="Arial" w:hAnsi="Arial" w:cs="Arial"/>
                <w:sz w:val="22"/>
                <w:szCs w:val="22"/>
              </w:rPr>
              <w:t>analysed for ages</w:t>
            </w:r>
            <w:r w:rsidR="00DA644E" w:rsidRPr="00904BA9">
              <w:rPr>
                <w:rFonts w:ascii="Arial" w:hAnsi="Arial" w:cs="Arial"/>
                <w:sz w:val="22"/>
                <w:szCs w:val="22"/>
              </w:rPr>
              <w:t xml:space="preserve"> 0-2 and 0-4 </w:t>
            </w:r>
            <w:r w:rsidR="0073082F">
              <w:rPr>
                <w:rFonts w:ascii="Arial" w:hAnsi="Arial" w:cs="Arial"/>
                <w:sz w:val="22"/>
                <w:szCs w:val="22"/>
              </w:rPr>
              <w:t>and diagnosis of TBM by bronchoscopy</w:t>
            </w:r>
            <w:r w:rsidR="00DA644E" w:rsidRPr="00904B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51B42" w:rsidRPr="00C51B42">
              <w:rPr>
                <w:rFonts w:ascii="Arial" w:hAnsi="Arial" w:cs="Arial"/>
                <w:sz w:val="22"/>
                <w:szCs w:val="22"/>
              </w:rPr>
              <w:t>A Mann-Whitney U test was run to determine difference</w:t>
            </w:r>
            <w:r w:rsidR="00C51B42">
              <w:rPr>
                <w:rFonts w:ascii="Arial" w:hAnsi="Arial" w:cs="Arial"/>
                <w:sz w:val="22"/>
                <w:szCs w:val="22"/>
              </w:rPr>
              <w:t>s betwee</w:t>
            </w:r>
            <w:r w:rsidR="000A2514">
              <w:rPr>
                <w:rFonts w:ascii="Arial" w:hAnsi="Arial" w:cs="Arial"/>
                <w:sz w:val="22"/>
                <w:szCs w:val="22"/>
              </w:rPr>
              <w:t>n children with and without TB</w:t>
            </w:r>
            <w:r w:rsidR="00E034A8">
              <w:rPr>
                <w:rFonts w:ascii="Arial" w:hAnsi="Arial" w:cs="Arial"/>
                <w:sz w:val="22"/>
                <w:szCs w:val="22"/>
              </w:rPr>
              <w:t>M</w:t>
            </w:r>
            <w:r w:rsidR="000A2514">
              <w:rPr>
                <w:rFonts w:ascii="Arial" w:hAnsi="Arial" w:cs="Arial"/>
                <w:sz w:val="22"/>
                <w:szCs w:val="22"/>
              </w:rPr>
              <w:t>.</w:t>
            </w:r>
            <w:r w:rsidR="00C51B42" w:rsidRPr="00C51B42" w:rsidDel="00C51B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4A8">
              <w:rPr>
                <w:rFonts w:ascii="Arial" w:hAnsi="Arial" w:cs="Arial"/>
                <w:sz w:val="22"/>
                <w:szCs w:val="22"/>
              </w:rPr>
              <w:t xml:space="preserve">Significance was set </w:t>
            </w:r>
            <w:r w:rsidR="00F44F8A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A177D5">
              <w:rPr>
                <w:rFonts w:ascii="Arial" w:hAnsi="Arial" w:cs="Arial"/>
                <w:sz w:val="22"/>
                <w:szCs w:val="22"/>
              </w:rPr>
              <w:t>p&lt;0.05</w:t>
            </w:r>
            <w:r w:rsidR="00A832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29BAE6" w14:textId="726E0D26" w:rsidR="001564A4" w:rsidRPr="001D1DB2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3921543" w14:textId="35D4A161" w:rsidR="00571833" w:rsidRPr="00571833" w:rsidRDefault="008E2F95" w:rsidP="00571833">
            <w:pPr>
              <w:spacing w:after="160" w:line="259" w:lineRule="auto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101 of 117 patients had complete data between the ages 0-4. </w:t>
            </w:r>
            <w:r w:rsidR="003444F9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Fifty-nine children (58%) had 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TBM</w:t>
            </w:r>
            <w:r w:rsidR="000E41B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Between 0-2 years, 72 (71%) children had at least one admission</w:t>
            </w:r>
            <w:r w:rsidR="003D38B9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in WA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</w:t>
            </w:r>
            <w:r w:rsidR="00CD217A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C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hildren with TBM had significantly higher total admission days 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 =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17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(36)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vs 4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(15)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p=0.009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]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, number of admissions 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2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(2)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vs 1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(2)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p=0.005</w:t>
            </w:r>
            <w:r w:rsidR="000E41B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; OR 1.79</w:t>
            </w:r>
            <w:r w:rsidR="008B757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]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, 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number of respiratory admissions 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B961EC" w:rsidRPr="00571833" w:rsidDel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1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(2)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vs 0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(1)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p&lt;0.001</w:t>
            </w:r>
            <w:r w:rsidR="000E41B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; OR 3.91</w:t>
            </w:r>
            <w:r w:rsidR="008B757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]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0E41B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and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respiratory </w:t>
            </w:r>
            <w:r w:rsidR="00385166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LOS</w:t>
            </w:r>
            <w:r w:rsidR="009A733D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5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(22)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vs 0</w:t>
            </w:r>
            <w:r w:rsidR="00B961EC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(1)</w:t>
            </w:r>
            <w:r w:rsidR="00571833" w:rsidRPr="005718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p&lt;0.001</w:t>
            </w:r>
            <w:r w:rsidR="008B757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]</w:t>
            </w:r>
            <w:r w:rsidR="00B736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</w:p>
          <w:p w14:paraId="664655D2" w14:textId="0730EF78" w:rsidR="00571833" w:rsidRPr="00571833" w:rsidRDefault="00571833" w:rsidP="00571833">
            <w:pPr>
              <w:spacing w:after="160" w:line="259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By </w:t>
            </w:r>
            <w:r w:rsidR="00CD217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age four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</w:t>
            </w:r>
            <w:r w:rsidR="00B736E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children with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TBM 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continued to have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significantly higher total admission days </w:t>
            </w:r>
            <w:r w:rsidR="000460E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0460E3" w:rsidRPr="00571833" w:rsidDel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25</w:t>
            </w:r>
            <w:r w:rsidR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(55)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vs 4</w:t>
            </w:r>
            <w:r w:rsidR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(15)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 p&lt;0.001</w:t>
            </w:r>
            <w:r w:rsidR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]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</w:t>
            </w:r>
            <w:r w:rsidR="00B961E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number of admissions </w:t>
            </w:r>
            <w:r w:rsidR="000460E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0460E3" w:rsidRPr="00571833" w:rsidDel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3</w:t>
            </w:r>
            <w:r w:rsidR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(4)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vs 1</w:t>
            </w:r>
            <w:r w:rsidR="000460E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</w:t>
            </w:r>
            <w:r w:rsidR="00616E3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2)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 p&lt;0.001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; OR 2.72</w:t>
            </w:r>
            <w:r w:rsidR="00616E3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] 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and number of 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respiratory admissions </w:t>
            </w:r>
            <w:r w:rsidR="00616E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616E31" w:rsidDel="00616E3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1</w:t>
            </w:r>
            <w:r w:rsidR="00616E3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(3)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vs 0</w:t>
            </w:r>
            <w:r w:rsidR="00616E31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(1)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 p&lt;0.001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; OR 6.18</w:t>
            </w:r>
            <w:r w:rsidR="008E2F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]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. Additionally, </w:t>
            </w:r>
            <w:r w:rsidR="00CD217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children</w:t>
            </w:r>
            <w:r w:rsidR="001A314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with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TBM had significantly more </w:t>
            </w:r>
            <w:r w:rsidR="00616E6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gastroenterology</w:t>
            </w:r>
            <w:r w:rsidR="00616E67" w:rsidDel="0058701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admissions</w:t>
            </w:r>
            <w:r w:rsidR="00B961E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616E3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0</w:t>
            </w:r>
            <w:r w:rsidR="00E9626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(1)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vs 0</w:t>
            </w:r>
            <w:r w:rsidR="00E9626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(0)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 p=0.</w:t>
            </w:r>
            <w:r w:rsidR="0017371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0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3</w:t>
            </w:r>
            <w:r w:rsidR="00A211A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7]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and </w:t>
            </w:r>
            <w:r w:rsidR="001A314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LOS</w:t>
            </w:r>
            <w:r w:rsidR="0058701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17371A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[median(IQR)=</w:t>
            </w:r>
            <w:r w:rsidR="0017371A" w:rsidDel="0017371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A211A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14(14)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vs 0</w:t>
            </w:r>
            <w:r w:rsidR="00A211A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(0)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, p=0.046</w:t>
            </w:r>
            <w:r w:rsidR="00A211A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]</w:t>
            </w:r>
            <w:r w:rsidR="009A733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Pr="00571833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2A651708" w14:textId="49590A11" w:rsidR="001564A4" w:rsidRPr="00D47BB0" w:rsidRDefault="00FE5203" w:rsidP="00D47B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5D7BB4" w:rsidRPr="00DA644E">
              <w:rPr>
                <w:rFonts w:ascii="Arial" w:hAnsi="Arial" w:cs="Arial"/>
                <w:sz w:val="22"/>
                <w:szCs w:val="22"/>
              </w:rPr>
              <w:t>iagnosis of TBM in children with CF is associated with a higher number of hospital admissions</w:t>
            </w:r>
            <w:r w:rsidR="00174CD9" w:rsidRPr="00DA644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74430" w:rsidRPr="00DA64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644E" w:rsidRPr="00DA644E">
              <w:rPr>
                <w:rFonts w:ascii="Arial" w:hAnsi="Arial" w:cs="Arial"/>
                <w:sz w:val="22"/>
                <w:szCs w:val="22"/>
              </w:rPr>
              <w:t>length of</w:t>
            </w:r>
            <w:r w:rsidR="00474430" w:rsidRPr="00DA644E">
              <w:rPr>
                <w:rFonts w:ascii="Arial" w:hAnsi="Arial" w:cs="Arial"/>
                <w:sz w:val="22"/>
                <w:szCs w:val="22"/>
              </w:rPr>
              <w:t xml:space="preserve"> stay</w:t>
            </w:r>
            <w:r w:rsidR="00174CD9" w:rsidRPr="00DA64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 children </w:t>
            </w:r>
            <w:r w:rsidR="00174CD9" w:rsidRPr="00DA644E">
              <w:rPr>
                <w:rFonts w:ascii="Arial" w:hAnsi="Arial" w:cs="Arial"/>
                <w:sz w:val="22"/>
                <w:szCs w:val="22"/>
              </w:rPr>
              <w:t>under four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of age</w:t>
            </w:r>
            <w:r w:rsidR="00174CD9" w:rsidRPr="00DA644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This information can be used</w:t>
            </w:r>
            <w:r w:rsidR="0076352A">
              <w:rPr>
                <w:rFonts w:ascii="Arial" w:hAnsi="Arial" w:cs="Arial"/>
                <w:sz w:val="22"/>
                <w:szCs w:val="22"/>
              </w:rPr>
              <w:t xml:space="preserve"> in education </w:t>
            </w:r>
            <w:r w:rsidR="003D38B9">
              <w:rPr>
                <w:rFonts w:ascii="Arial" w:hAnsi="Arial" w:cs="Arial"/>
                <w:sz w:val="22"/>
                <w:szCs w:val="22"/>
              </w:rPr>
              <w:t>for</w:t>
            </w:r>
            <w:r w:rsidR="001A314C">
              <w:rPr>
                <w:rFonts w:ascii="Arial" w:hAnsi="Arial" w:cs="Arial"/>
                <w:sz w:val="22"/>
                <w:szCs w:val="22"/>
              </w:rPr>
              <w:t xml:space="preserve"> families of children with CF </w:t>
            </w:r>
            <w:r w:rsidR="003D38B9">
              <w:rPr>
                <w:rFonts w:ascii="Arial" w:hAnsi="Arial" w:cs="Arial"/>
                <w:sz w:val="22"/>
                <w:szCs w:val="22"/>
              </w:rPr>
              <w:t>regarding the clinical implication of a TBM diagnosis</w:t>
            </w:r>
            <w:r w:rsidR="0083715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9DFAD" w14:textId="77777777" w:rsidR="00571833" w:rsidRPr="00571833" w:rsidRDefault="00571833" w:rsidP="00571833">
            <w:pPr>
              <w:pStyle w:val="Default"/>
            </w:pPr>
          </w:p>
          <w:p w14:paraId="7F8381F0" w14:textId="0A01CBEC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58817868" w:rsidR="00E0700F" w:rsidRDefault="00E0700F" w:rsidP="001564A4"/>
    <w:p w14:paraId="4085C062" w14:textId="77777777" w:rsidR="00F76333" w:rsidRDefault="00F76333" w:rsidP="001564A4">
      <w:pPr>
        <w:rPr>
          <w:rFonts w:ascii="Arial" w:hAnsi="Arial" w:cs="Arial"/>
          <w:sz w:val="22"/>
          <w:szCs w:val="22"/>
        </w:rPr>
      </w:pPr>
    </w:p>
    <w:p w14:paraId="2217A49D" w14:textId="1C779A3C" w:rsidR="00F25DD7" w:rsidRPr="00383748" w:rsidRDefault="00F25DD7" w:rsidP="001564A4">
      <w:pPr>
        <w:rPr>
          <w:rFonts w:ascii="Arial" w:hAnsi="Arial" w:cs="Arial"/>
          <w:sz w:val="22"/>
          <w:szCs w:val="22"/>
        </w:rPr>
      </w:pPr>
      <w:r w:rsidRPr="00F25DD7">
        <w:rPr>
          <w:rFonts w:ascii="Arial" w:hAnsi="Arial" w:cs="Arial"/>
          <w:sz w:val="22"/>
          <w:szCs w:val="22"/>
        </w:rPr>
        <w:t>Key Words (six):</w:t>
      </w:r>
      <w:r w:rsidR="00383748">
        <w:rPr>
          <w:rFonts w:ascii="Arial" w:hAnsi="Arial" w:cs="Arial"/>
          <w:sz w:val="22"/>
          <w:szCs w:val="22"/>
        </w:rPr>
        <w:t xml:space="preserve"> Cystic Fibrosis, </w:t>
      </w:r>
      <w:proofErr w:type="spellStart"/>
      <w:r w:rsidR="00383748">
        <w:rPr>
          <w:rFonts w:ascii="Arial" w:hAnsi="Arial" w:cs="Arial"/>
          <w:sz w:val="22"/>
          <w:szCs w:val="22"/>
        </w:rPr>
        <w:t>Tracheobronchomalacia</w:t>
      </w:r>
      <w:proofErr w:type="spellEnd"/>
      <w:r w:rsidR="00383748">
        <w:rPr>
          <w:rFonts w:ascii="Arial" w:hAnsi="Arial" w:cs="Arial"/>
          <w:sz w:val="22"/>
          <w:szCs w:val="22"/>
        </w:rPr>
        <w:t xml:space="preserve">, </w:t>
      </w:r>
      <w:r w:rsidR="001F4E48">
        <w:rPr>
          <w:rFonts w:ascii="Arial" w:hAnsi="Arial" w:cs="Arial"/>
          <w:sz w:val="22"/>
          <w:szCs w:val="22"/>
        </w:rPr>
        <w:t>H</w:t>
      </w:r>
      <w:r w:rsidR="00383748">
        <w:rPr>
          <w:rFonts w:ascii="Arial" w:hAnsi="Arial" w:cs="Arial"/>
          <w:sz w:val="22"/>
          <w:szCs w:val="22"/>
        </w:rPr>
        <w:t>ospital admissions</w:t>
      </w:r>
    </w:p>
    <w:sectPr w:rsidR="00F25DD7" w:rsidRPr="00383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32E7"/>
    <w:rsid w:val="000460E3"/>
    <w:rsid w:val="0008108E"/>
    <w:rsid w:val="000A2514"/>
    <w:rsid w:val="000E41B0"/>
    <w:rsid w:val="000E6F5E"/>
    <w:rsid w:val="00106594"/>
    <w:rsid w:val="00110EA9"/>
    <w:rsid w:val="0013792F"/>
    <w:rsid w:val="00150A6F"/>
    <w:rsid w:val="00152340"/>
    <w:rsid w:val="00155169"/>
    <w:rsid w:val="001564A4"/>
    <w:rsid w:val="001660D6"/>
    <w:rsid w:val="0017371A"/>
    <w:rsid w:val="00174CD9"/>
    <w:rsid w:val="001A314C"/>
    <w:rsid w:val="001D1DB2"/>
    <w:rsid w:val="001E3BE5"/>
    <w:rsid w:val="001E7CF4"/>
    <w:rsid w:val="001F4E48"/>
    <w:rsid w:val="002213E2"/>
    <w:rsid w:val="0025445A"/>
    <w:rsid w:val="0026513E"/>
    <w:rsid w:val="002677D3"/>
    <w:rsid w:val="002A3F34"/>
    <w:rsid w:val="00313D5A"/>
    <w:rsid w:val="00320165"/>
    <w:rsid w:val="003333D9"/>
    <w:rsid w:val="003444F9"/>
    <w:rsid w:val="0037003D"/>
    <w:rsid w:val="00383748"/>
    <w:rsid w:val="00385166"/>
    <w:rsid w:val="0039245C"/>
    <w:rsid w:val="003B4241"/>
    <w:rsid w:val="003D38B9"/>
    <w:rsid w:val="003D3CFF"/>
    <w:rsid w:val="003E0FD5"/>
    <w:rsid w:val="003E1438"/>
    <w:rsid w:val="003E5079"/>
    <w:rsid w:val="00413AA3"/>
    <w:rsid w:val="00474430"/>
    <w:rsid w:val="00483E3B"/>
    <w:rsid w:val="004A0726"/>
    <w:rsid w:val="004B031D"/>
    <w:rsid w:val="004D00D8"/>
    <w:rsid w:val="004D1F43"/>
    <w:rsid w:val="004E3EEF"/>
    <w:rsid w:val="004F39F5"/>
    <w:rsid w:val="00510616"/>
    <w:rsid w:val="0051574E"/>
    <w:rsid w:val="0052419B"/>
    <w:rsid w:val="0056122D"/>
    <w:rsid w:val="00562F74"/>
    <w:rsid w:val="00571833"/>
    <w:rsid w:val="00587010"/>
    <w:rsid w:val="005D00BC"/>
    <w:rsid w:val="005D7BB4"/>
    <w:rsid w:val="005D7C9B"/>
    <w:rsid w:val="00616E31"/>
    <w:rsid w:val="00616E67"/>
    <w:rsid w:val="00641D4E"/>
    <w:rsid w:val="006B5AB1"/>
    <w:rsid w:val="0072309F"/>
    <w:rsid w:val="0073082F"/>
    <w:rsid w:val="007434C0"/>
    <w:rsid w:val="0076352A"/>
    <w:rsid w:val="007649A9"/>
    <w:rsid w:val="00771F3C"/>
    <w:rsid w:val="007C44A7"/>
    <w:rsid w:val="007D058D"/>
    <w:rsid w:val="007D38EB"/>
    <w:rsid w:val="00837154"/>
    <w:rsid w:val="008803FA"/>
    <w:rsid w:val="008B7578"/>
    <w:rsid w:val="008D3905"/>
    <w:rsid w:val="008E2F95"/>
    <w:rsid w:val="00944017"/>
    <w:rsid w:val="009552E0"/>
    <w:rsid w:val="009870F5"/>
    <w:rsid w:val="009A733D"/>
    <w:rsid w:val="009A7F59"/>
    <w:rsid w:val="009C6984"/>
    <w:rsid w:val="00A177D5"/>
    <w:rsid w:val="00A20091"/>
    <w:rsid w:val="00A211A7"/>
    <w:rsid w:val="00A712FA"/>
    <w:rsid w:val="00A81667"/>
    <w:rsid w:val="00A83297"/>
    <w:rsid w:val="00AC671C"/>
    <w:rsid w:val="00AD2FC5"/>
    <w:rsid w:val="00B063F3"/>
    <w:rsid w:val="00B12E32"/>
    <w:rsid w:val="00B47A77"/>
    <w:rsid w:val="00B6198A"/>
    <w:rsid w:val="00B736E8"/>
    <w:rsid w:val="00B90B55"/>
    <w:rsid w:val="00B961EC"/>
    <w:rsid w:val="00BD7DC9"/>
    <w:rsid w:val="00BE67ED"/>
    <w:rsid w:val="00BE77FF"/>
    <w:rsid w:val="00C23287"/>
    <w:rsid w:val="00C25C36"/>
    <w:rsid w:val="00C5049A"/>
    <w:rsid w:val="00C51B42"/>
    <w:rsid w:val="00C74589"/>
    <w:rsid w:val="00CA4CD2"/>
    <w:rsid w:val="00CD217A"/>
    <w:rsid w:val="00CE4CBB"/>
    <w:rsid w:val="00D13363"/>
    <w:rsid w:val="00D37930"/>
    <w:rsid w:val="00D42D6B"/>
    <w:rsid w:val="00D47BB0"/>
    <w:rsid w:val="00D62CC6"/>
    <w:rsid w:val="00D63AC9"/>
    <w:rsid w:val="00D86213"/>
    <w:rsid w:val="00DA644E"/>
    <w:rsid w:val="00DB01C7"/>
    <w:rsid w:val="00DB09B3"/>
    <w:rsid w:val="00DD064A"/>
    <w:rsid w:val="00E034A8"/>
    <w:rsid w:val="00E0700F"/>
    <w:rsid w:val="00E745F2"/>
    <w:rsid w:val="00E83ECE"/>
    <w:rsid w:val="00E96262"/>
    <w:rsid w:val="00EE7001"/>
    <w:rsid w:val="00EF58F1"/>
    <w:rsid w:val="00F25DD7"/>
    <w:rsid w:val="00F347B8"/>
    <w:rsid w:val="00F44F8A"/>
    <w:rsid w:val="00F46217"/>
    <w:rsid w:val="00F64234"/>
    <w:rsid w:val="00F76333"/>
    <w:rsid w:val="00F93043"/>
    <w:rsid w:val="00FB381A"/>
    <w:rsid w:val="00FC29AC"/>
    <w:rsid w:val="00FC3723"/>
    <w:rsid w:val="00FE516C"/>
    <w:rsid w:val="00FE520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D0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58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8D"/>
    <w:rPr>
      <w:rFonts w:ascii="Times New Roman" w:eastAsia="Times New Roman" w:hAnsi="Times New Roman" w:cs="Times New Roman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CE4CBB"/>
    <w:pPr>
      <w:spacing w:before="100" w:beforeAutospacing="1" w:after="100" w:afterAutospacing="1"/>
    </w:pPr>
    <w:rPr>
      <w:lang w:val="en-AU" w:eastAsia="en-GB"/>
    </w:rPr>
  </w:style>
  <w:style w:type="paragraph" w:styleId="Revision">
    <w:name w:val="Revision"/>
    <w:hidden/>
    <w:uiPriority w:val="99"/>
    <w:semiHidden/>
    <w:rsid w:val="00A832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D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Crute, Samantha</cp:lastModifiedBy>
  <cp:revision>3</cp:revision>
  <dcterms:created xsi:type="dcterms:W3CDTF">2023-10-19T04:09:00Z</dcterms:created>
  <dcterms:modified xsi:type="dcterms:W3CDTF">2023-10-19T04:21:00Z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