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D454CD" w14:paraId="3CA33060" w14:textId="77777777" w:rsidTr="6205AE7F">
        <w:tc>
          <w:tcPr>
            <w:tcW w:w="8640" w:type="dxa"/>
            <w:shd w:val="clear" w:color="auto" w:fill="F2F2F2" w:themeFill="background1" w:themeFillShade="F2"/>
          </w:tcPr>
          <w:p w14:paraId="0C63071D" w14:textId="77777777" w:rsidR="00D454CD" w:rsidRPr="00D454CD" w:rsidRDefault="00D454CD" w:rsidP="6205AE7F">
            <w:pPr>
              <w:jc w:val="both"/>
              <w:rPr>
                <w:rFonts w:ascii="Arial" w:hAnsi="Arial" w:cs="Arial"/>
                <w:i/>
                <w:iCs/>
                <w:sz w:val="22"/>
                <w:szCs w:val="22"/>
              </w:rPr>
            </w:pPr>
            <w:r w:rsidRPr="00D454CD">
              <w:rPr>
                <w:rFonts w:ascii="Arial" w:hAnsi="Arial" w:cs="Arial"/>
                <w:i/>
                <w:iCs/>
                <w:sz w:val="22"/>
                <w:szCs w:val="22"/>
              </w:rPr>
              <w:t>Paper</w:t>
            </w:r>
          </w:p>
          <w:p w14:paraId="45B45A9C" w14:textId="6CE0EFF9" w:rsidR="6088ECFF" w:rsidRPr="00D454CD" w:rsidRDefault="6088ECFF" w:rsidP="6205AE7F">
            <w:pPr>
              <w:jc w:val="both"/>
              <w:rPr>
                <w:rFonts w:ascii="Arial" w:hAnsi="Arial" w:cs="Arial"/>
                <w:b/>
                <w:bCs/>
                <w:sz w:val="22"/>
                <w:szCs w:val="22"/>
              </w:rPr>
            </w:pPr>
            <w:r w:rsidRPr="00D454CD">
              <w:rPr>
                <w:rFonts w:ascii="Arial" w:hAnsi="Arial" w:cs="Arial"/>
                <w:b/>
                <w:bCs/>
                <w:sz w:val="22"/>
                <w:szCs w:val="22"/>
              </w:rPr>
              <w:t xml:space="preserve">Blue Carbon Futures: Legal and Policy </w:t>
            </w:r>
            <w:r w:rsidR="00367EF0" w:rsidRPr="00D454CD">
              <w:rPr>
                <w:rFonts w:ascii="Arial" w:hAnsi="Arial" w:cs="Arial"/>
                <w:b/>
                <w:bCs/>
                <w:sz w:val="22"/>
                <w:szCs w:val="22"/>
              </w:rPr>
              <w:t>Challenges in Comparative Contexts</w:t>
            </w:r>
            <w:r w:rsidRPr="00D454CD">
              <w:rPr>
                <w:rFonts w:ascii="Arial" w:hAnsi="Arial" w:cs="Arial"/>
                <w:b/>
                <w:bCs/>
                <w:sz w:val="22"/>
                <w:szCs w:val="22"/>
              </w:rPr>
              <w:t xml:space="preserve"> </w:t>
            </w:r>
          </w:p>
          <w:p w14:paraId="3F7D1534" w14:textId="77777777" w:rsidR="00C8423A" w:rsidRPr="00D454CD" w:rsidRDefault="00C8423A" w:rsidP="0065012F">
            <w:pPr>
              <w:tabs>
                <w:tab w:val="left" w:pos="3386"/>
              </w:tabs>
              <w:jc w:val="both"/>
              <w:rPr>
                <w:rFonts w:ascii="Arial" w:hAnsi="Arial" w:cs="Arial"/>
                <w:b/>
                <w:bCs/>
                <w:sz w:val="22"/>
                <w:szCs w:val="22"/>
              </w:rPr>
            </w:pPr>
          </w:p>
        </w:tc>
      </w:tr>
      <w:tr w:rsidR="00C8423A" w:rsidRPr="0003525D" w14:paraId="1A1C8C63" w14:textId="77777777" w:rsidTr="6205AE7F">
        <w:trPr>
          <w:trHeight w:val="3124"/>
        </w:trPr>
        <w:tc>
          <w:tcPr>
            <w:tcW w:w="8640" w:type="dxa"/>
          </w:tcPr>
          <w:p w14:paraId="65A278DB" w14:textId="77777777" w:rsidR="00C8423A" w:rsidRDefault="00C8423A" w:rsidP="00706DED">
            <w:pPr>
              <w:jc w:val="both"/>
              <w:rPr>
                <w:rFonts w:ascii="Arial" w:hAnsi="Arial" w:cs="Arial"/>
                <w:b/>
                <w:sz w:val="22"/>
                <w:szCs w:val="22"/>
              </w:rPr>
            </w:pPr>
          </w:p>
          <w:p w14:paraId="27DD0517" w14:textId="3C1469B1" w:rsidR="47DA83FA" w:rsidRDefault="47DA83FA" w:rsidP="6205AE7F">
            <w:pPr>
              <w:jc w:val="both"/>
              <w:rPr>
                <w:rFonts w:ascii="Arial" w:eastAsia="Arial" w:hAnsi="Arial" w:cs="Arial"/>
                <w:b/>
                <w:bCs/>
                <w:sz w:val="22"/>
                <w:szCs w:val="22"/>
              </w:rPr>
            </w:pPr>
            <w:r w:rsidRPr="6205AE7F">
              <w:rPr>
                <w:rFonts w:ascii="Arial" w:eastAsia="Arial" w:hAnsi="Arial" w:cs="Arial"/>
                <w:b/>
                <w:bCs/>
                <w:sz w:val="22"/>
                <w:szCs w:val="22"/>
              </w:rPr>
              <w:t>Introduction</w:t>
            </w:r>
          </w:p>
          <w:p w14:paraId="66F2AD4E" w14:textId="5C134579" w:rsidR="00367EF0" w:rsidRDefault="204BD732" w:rsidP="00367EF0">
            <w:pPr>
              <w:spacing w:after="160" w:line="257" w:lineRule="auto"/>
              <w:jc w:val="both"/>
              <w:rPr>
                <w:rFonts w:ascii="Arial" w:eastAsia="Arial" w:hAnsi="Arial" w:cs="Arial"/>
                <w:sz w:val="22"/>
                <w:szCs w:val="22"/>
                <w:lang w:val="en-CA"/>
              </w:rPr>
            </w:pPr>
            <w:r w:rsidRPr="6205AE7F">
              <w:rPr>
                <w:rFonts w:ascii="Arial" w:eastAsia="Arial" w:hAnsi="Arial" w:cs="Arial"/>
                <w:sz w:val="22"/>
                <w:szCs w:val="22"/>
                <w:lang w:val="en-CA"/>
              </w:rPr>
              <w:t>Wetlands, mangroves, saltmarshes and seagrass p</w:t>
            </w:r>
            <w:r w:rsidR="005B288A">
              <w:rPr>
                <w:rFonts w:ascii="Arial" w:eastAsia="Arial" w:hAnsi="Arial" w:cs="Arial"/>
                <w:sz w:val="22"/>
                <w:szCs w:val="22"/>
                <w:lang w:val="en-CA"/>
              </w:rPr>
              <w:t>l</w:t>
            </w:r>
            <w:r w:rsidRPr="6205AE7F">
              <w:rPr>
                <w:rFonts w:ascii="Arial" w:eastAsia="Arial" w:hAnsi="Arial" w:cs="Arial"/>
                <w:sz w:val="22"/>
                <w:szCs w:val="22"/>
                <w:lang w:val="en-CA"/>
              </w:rPr>
              <w:t xml:space="preserve">ay a critical role in storing carbon, buffering storm surge, sea-level rise and erosion, filtering pollutants from land runoff, and combating marine wildlife habitat loss. Effective management and restoration of these ‘blue carbon’ ecosystems is increasingly recognised in international and scientific circles as a nature-based solution </w:t>
            </w:r>
            <w:r w:rsidR="00367EF0">
              <w:rPr>
                <w:rFonts w:ascii="Arial" w:eastAsia="Arial" w:hAnsi="Arial" w:cs="Arial"/>
                <w:sz w:val="22"/>
                <w:szCs w:val="22"/>
                <w:lang w:val="en-CA"/>
              </w:rPr>
              <w:t>for</w:t>
            </w:r>
            <w:r w:rsidRPr="6205AE7F">
              <w:rPr>
                <w:rFonts w:ascii="Arial" w:eastAsia="Arial" w:hAnsi="Arial" w:cs="Arial"/>
                <w:sz w:val="22"/>
                <w:szCs w:val="22"/>
                <w:lang w:val="en-CA"/>
              </w:rPr>
              <w:t xml:space="preserve"> climate change</w:t>
            </w:r>
            <w:r w:rsidR="00367EF0">
              <w:rPr>
                <w:rFonts w:ascii="Arial" w:eastAsia="Arial" w:hAnsi="Arial" w:cs="Arial"/>
                <w:sz w:val="22"/>
                <w:szCs w:val="22"/>
                <w:lang w:val="en-CA"/>
              </w:rPr>
              <w:t xml:space="preserve"> mitigation and adaptation</w:t>
            </w:r>
            <w:r w:rsidRPr="6205AE7F">
              <w:rPr>
                <w:rFonts w:ascii="Arial" w:eastAsia="Arial" w:hAnsi="Arial" w:cs="Arial"/>
                <w:sz w:val="22"/>
                <w:szCs w:val="22"/>
                <w:lang w:val="en-CA"/>
              </w:rPr>
              <w:t>, with a range of environmental, economic and social co-benefits.</w:t>
            </w:r>
            <w:r w:rsidR="6273E921" w:rsidRPr="6205AE7F">
              <w:rPr>
                <w:rFonts w:ascii="Arial" w:eastAsia="Arial" w:hAnsi="Arial" w:cs="Arial"/>
                <w:sz w:val="22"/>
                <w:szCs w:val="22"/>
                <w:lang w:val="en-CA"/>
              </w:rPr>
              <w:t xml:space="preserve"> </w:t>
            </w:r>
            <w:r w:rsidRPr="6205AE7F">
              <w:rPr>
                <w:rFonts w:ascii="Arial" w:eastAsia="Arial" w:hAnsi="Arial" w:cs="Arial"/>
                <w:sz w:val="22"/>
                <w:szCs w:val="22"/>
                <w:lang w:val="en-CA"/>
              </w:rPr>
              <w:t>The proponents of blue carbon believe that a combination of regulatory controls and economic incentives (including compliance and voluntary markets for carbon and biodiversity credits) can be used to support shifts away from unsustainable marine and coastal management and use commensurate with the critical and threatened existence of blue carbon ecosystems</w:t>
            </w:r>
            <w:r w:rsidR="00622A59">
              <w:rPr>
                <w:rFonts w:ascii="Arial" w:eastAsia="Arial" w:hAnsi="Arial" w:cs="Arial"/>
                <w:sz w:val="22"/>
                <w:szCs w:val="22"/>
                <w:lang w:val="en-CA"/>
              </w:rPr>
              <w:t xml:space="preserve"> and the </w:t>
            </w:r>
            <w:r w:rsidR="00DB1C1B">
              <w:rPr>
                <w:rFonts w:ascii="Arial" w:eastAsia="Arial" w:hAnsi="Arial" w:cs="Arial"/>
                <w:sz w:val="22"/>
                <w:szCs w:val="22"/>
                <w:lang w:val="en-CA"/>
              </w:rPr>
              <w:t>urgency of climate adaptation action</w:t>
            </w:r>
            <w:r w:rsidRPr="6205AE7F">
              <w:rPr>
                <w:rFonts w:ascii="Arial" w:eastAsia="Arial" w:hAnsi="Arial" w:cs="Arial"/>
                <w:sz w:val="22"/>
                <w:szCs w:val="22"/>
                <w:lang w:val="en-CA"/>
              </w:rPr>
              <w:t xml:space="preserve">. </w:t>
            </w:r>
          </w:p>
          <w:p w14:paraId="4806BFDB" w14:textId="1113C504" w:rsidR="0065012F" w:rsidRPr="00367EF0" w:rsidRDefault="00367EF0" w:rsidP="00367EF0">
            <w:pPr>
              <w:spacing w:after="160" w:line="257" w:lineRule="auto"/>
              <w:jc w:val="both"/>
              <w:rPr>
                <w:rFonts w:ascii="Arial" w:eastAsia="Arial" w:hAnsi="Arial" w:cs="Arial"/>
                <w:sz w:val="22"/>
                <w:szCs w:val="22"/>
                <w:lang w:val="en-CA"/>
              </w:rPr>
            </w:pPr>
            <w:r w:rsidRPr="6205AE7F">
              <w:rPr>
                <w:rFonts w:ascii="Arial" w:eastAsia="Arial" w:hAnsi="Arial" w:cs="Arial"/>
                <w:sz w:val="22"/>
                <w:szCs w:val="22"/>
                <w:lang w:val="en-CA"/>
              </w:rPr>
              <w:t xml:space="preserve">There is growing scientific consensus about the varying ways and rates at which blue carbon ecosystems store and release atmospheric carbon. However, </w:t>
            </w:r>
            <w:r w:rsidR="005B288A">
              <w:rPr>
                <w:rFonts w:ascii="Arial" w:eastAsia="Arial" w:hAnsi="Arial" w:cs="Arial"/>
                <w:sz w:val="22"/>
                <w:szCs w:val="22"/>
                <w:lang w:val="en-CA"/>
              </w:rPr>
              <w:t xml:space="preserve">although blue carbon is signalled in international and domestic policy documents, </w:t>
            </w:r>
            <w:r w:rsidRPr="6205AE7F">
              <w:rPr>
                <w:rFonts w:ascii="Arial" w:eastAsia="Arial" w:hAnsi="Arial" w:cs="Arial"/>
                <w:sz w:val="22"/>
                <w:szCs w:val="22"/>
                <w:lang w:val="en-CA"/>
              </w:rPr>
              <w:t xml:space="preserve">the design and implementation of legal and policy frameworks has been slow to follow. This is partly because there are significant legal uncertainties to confront in the design of blue carbon policy frameworks, especially in determining who has the lawful right to undertake blue carbon activities and benefit from carbon credits. In settler-colonial contexts, Indigenous and First Nations peoples have longstanding rights, interests, and relationships in marine and coastal areas, although their perspectives and positions are not always reflected in policy development discussions led by government, environmental, philanthropic, and financial sectors.  </w:t>
            </w:r>
          </w:p>
          <w:p w14:paraId="5DE13B32" w14:textId="77777777" w:rsidR="0065012F" w:rsidRDefault="47DA83FA" w:rsidP="6205AE7F">
            <w:pPr>
              <w:jc w:val="both"/>
              <w:rPr>
                <w:rFonts w:ascii="Arial" w:eastAsia="Arial" w:hAnsi="Arial" w:cs="Arial"/>
                <w:b/>
                <w:bCs/>
                <w:sz w:val="22"/>
                <w:szCs w:val="22"/>
              </w:rPr>
            </w:pPr>
            <w:r w:rsidRPr="6205AE7F">
              <w:rPr>
                <w:rFonts w:ascii="Arial" w:eastAsia="Arial" w:hAnsi="Arial" w:cs="Arial"/>
                <w:b/>
                <w:bCs/>
                <w:sz w:val="22"/>
                <w:szCs w:val="22"/>
              </w:rPr>
              <w:t>Objectives</w:t>
            </w:r>
          </w:p>
          <w:p w14:paraId="0A6CA9A0" w14:textId="4679B851" w:rsidR="00367EF0" w:rsidRPr="00367EF0" w:rsidRDefault="00367EF0" w:rsidP="6205AE7F">
            <w:pPr>
              <w:jc w:val="both"/>
              <w:rPr>
                <w:rFonts w:ascii="Arial" w:eastAsia="Arial" w:hAnsi="Arial" w:cs="Arial"/>
                <w:sz w:val="22"/>
                <w:szCs w:val="22"/>
                <w:lang w:val="en-CA"/>
              </w:rPr>
            </w:pPr>
            <w:r w:rsidRPr="6205AE7F">
              <w:rPr>
                <w:rFonts w:ascii="Arial" w:eastAsia="Arial" w:hAnsi="Arial" w:cs="Arial"/>
                <w:sz w:val="22"/>
                <w:szCs w:val="22"/>
                <w:lang w:val="en-CA"/>
              </w:rPr>
              <w:t xml:space="preserve">In this paper I will discuss the results of a multi-jurisdictional study of the legal challenges and opportunities for designing policy frameworks for blue carbon, </w:t>
            </w:r>
            <w:r w:rsidR="005B288A">
              <w:rPr>
                <w:rFonts w:ascii="Arial" w:eastAsia="Arial" w:hAnsi="Arial" w:cs="Arial"/>
                <w:sz w:val="22"/>
                <w:szCs w:val="22"/>
                <w:lang w:val="en-CA"/>
              </w:rPr>
              <w:t>including</w:t>
            </w:r>
            <w:r w:rsidRPr="6205AE7F">
              <w:rPr>
                <w:rFonts w:ascii="Arial" w:eastAsia="Arial" w:hAnsi="Arial" w:cs="Arial"/>
                <w:sz w:val="22"/>
                <w:szCs w:val="22"/>
                <w:lang w:val="en-CA"/>
              </w:rPr>
              <w:t xml:space="preserve"> complex land and resource tenure and resource planning and consenting requirements.</w:t>
            </w:r>
          </w:p>
          <w:p w14:paraId="7DF7D437" w14:textId="77777777" w:rsidR="0065012F" w:rsidRDefault="0065012F" w:rsidP="6205AE7F">
            <w:pPr>
              <w:jc w:val="both"/>
              <w:rPr>
                <w:rFonts w:ascii="Arial" w:eastAsia="Arial" w:hAnsi="Arial" w:cs="Arial"/>
                <w:b/>
                <w:bCs/>
                <w:sz w:val="22"/>
                <w:szCs w:val="22"/>
              </w:rPr>
            </w:pPr>
          </w:p>
          <w:p w14:paraId="2EA26660" w14:textId="18B74355" w:rsidR="00367EF0" w:rsidRDefault="42422FCA" w:rsidP="6205AE7F">
            <w:pPr>
              <w:jc w:val="both"/>
              <w:rPr>
                <w:rFonts w:ascii="Arial" w:eastAsia="Arial" w:hAnsi="Arial" w:cs="Arial"/>
                <w:b/>
                <w:bCs/>
                <w:sz w:val="22"/>
                <w:szCs w:val="22"/>
              </w:rPr>
            </w:pPr>
            <w:r w:rsidRPr="6205AE7F">
              <w:rPr>
                <w:rFonts w:ascii="Arial" w:eastAsia="Arial" w:hAnsi="Arial" w:cs="Arial"/>
                <w:b/>
                <w:bCs/>
                <w:sz w:val="22"/>
                <w:szCs w:val="22"/>
              </w:rPr>
              <w:t>Methodology</w:t>
            </w:r>
          </w:p>
          <w:p w14:paraId="6C837205" w14:textId="177569D7" w:rsidR="00367EF0" w:rsidRPr="00367EF0" w:rsidRDefault="00367EF0" w:rsidP="6205AE7F">
            <w:pPr>
              <w:jc w:val="both"/>
              <w:rPr>
                <w:rFonts w:ascii="Arial" w:eastAsia="Arial" w:hAnsi="Arial" w:cs="Arial"/>
                <w:i/>
                <w:iCs/>
                <w:sz w:val="22"/>
                <w:szCs w:val="22"/>
              </w:rPr>
            </w:pPr>
            <w:r>
              <w:rPr>
                <w:rFonts w:ascii="Arial" w:eastAsia="Arial" w:hAnsi="Arial" w:cs="Arial"/>
                <w:sz w:val="22"/>
                <w:szCs w:val="22"/>
              </w:rPr>
              <w:t xml:space="preserve">The study </w:t>
            </w:r>
            <w:r w:rsidR="005B288A">
              <w:rPr>
                <w:rFonts w:ascii="Arial" w:eastAsia="Arial" w:hAnsi="Arial" w:cs="Arial"/>
                <w:sz w:val="22"/>
                <w:szCs w:val="22"/>
              </w:rPr>
              <w:t>is</w:t>
            </w:r>
            <w:r>
              <w:rPr>
                <w:rFonts w:ascii="Arial" w:eastAsia="Arial" w:hAnsi="Arial" w:cs="Arial"/>
                <w:sz w:val="22"/>
                <w:szCs w:val="22"/>
              </w:rPr>
              <w:t xml:space="preserve"> comparative analysis of legal and policy barriers and enablers for blue carbon ecosystem management and restoration in comparative contexts, including Aotearoa, Asia/Pacific</w:t>
            </w:r>
            <w:r w:rsidR="005B288A">
              <w:rPr>
                <w:rFonts w:ascii="Arial" w:eastAsia="Arial" w:hAnsi="Arial" w:cs="Arial"/>
                <w:sz w:val="22"/>
                <w:szCs w:val="22"/>
              </w:rPr>
              <w:t>,</w:t>
            </w:r>
            <w:r>
              <w:rPr>
                <w:rFonts w:ascii="Arial" w:eastAsia="Arial" w:hAnsi="Arial" w:cs="Arial"/>
                <w:sz w:val="22"/>
                <w:szCs w:val="22"/>
              </w:rPr>
              <w:t xml:space="preserve"> and the Americas. The methods include cross-cultural and comparative analysis of legal texts (legislation, caselaw and policy), interdisciplinary literature review, and targeted engagement with key policy stakeholders, </w:t>
            </w:r>
            <w:proofErr w:type="spellStart"/>
            <w:r>
              <w:rPr>
                <w:rFonts w:ascii="Arial" w:eastAsia="Arial" w:hAnsi="Arial" w:cs="Arial"/>
                <w:sz w:val="22"/>
                <w:szCs w:val="22"/>
              </w:rPr>
              <w:t>manawhenua</w:t>
            </w:r>
            <w:proofErr w:type="spellEnd"/>
            <w:r>
              <w:rPr>
                <w:rFonts w:ascii="Arial" w:eastAsia="Arial" w:hAnsi="Arial" w:cs="Arial"/>
                <w:sz w:val="22"/>
                <w:szCs w:val="22"/>
              </w:rPr>
              <w:t xml:space="preserve"> and communities. The study was undertaken as part of the Rutherford Discovery Fellowship: </w:t>
            </w:r>
            <w:r>
              <w:rPr>
                <w:rFonts w:ascii="Arial" w:eastAsia="Arial" w:hAnsi="Arial" w:cs="Arial"/>
                <w:i/>
                <w:iCs/>
                <w:sz w:val="22"/>
                <w:szCs w:val="22"/>
              </w:rPr>
              <w:t xml:space="preserve">Blue Carbon Futures in Aotearoa New Zealand: Law, Climate, Resilience </w:t>
            </w:r>
            <w:r>
              <w:rPr>
                <w:rFonts w:ascii="Arial" w:eastAsia="Arial" w:hAnsi="Arial" w:cs="Arial"/>
                <w:sz w:val="22"/>
                <w:szCs w:val="22"/>
              </w:rPr>
              <w:t xml:space="preserve">co-developed with </w:t>
            </w:r>
            <w:proofErr w:type="spellStart"/>
            <w:r>
              <w:rPr>
                <w:rFonts w:ascii="Arial" w:eastAsia="Arial" w:hAnsi="Arial" w:cs="Arial"/>
                <w:sz w:val="22"/>
                <w:szCs w:val="22"/>
              </w:rPr>
              <w:t>Ngāi</w:t>
            </w:r>
            <w:proofErr w:type="spellEnd"/>
            <w:r>
              <w:rPr>
                <w:rFonts w:ascii="Arial" w:eastAsia="Arial" w:hAnsi="Arial" w:cs="Arial"/>
                <w:sz w:val="22"/>
                <w:szCs w:val="22"/>
              </w:rPr>
              <w:t xml:space="preserve"> Tahu (funded by Te </w:t>
            </w:r>
            <w:proofErr w:type="spellStart"/>
            <w:r>
              <w:rPr>
                <w:rFonts w:ascii="Arial" w:eastAsia="Arial" w:hAnsi="Arial" w:cs="Arial"/>
                <w:sz w:val="22"/>
                <w:szCs w:val="22"/>
              </w:rPr>
              <w:t>Apārangi</w:t>
            </w:r>
            <w:proofErr w:type="spellEnd"/>
            <w:r>
              <w:rPr>
                <w:rFonts w:ascii="Arial" w:eastAsia="Arial" w:hAnsi="Arial" w:cs="Arial"/>
                <w:sz w:val="22"/>
                <w:szCs w:val="22"/>
              </w:rPr>
              <w:t xml:space="preserve"> I The Royal Society)</w:t>
            </w:r>
            <w:r>
              <w:rPr>
                <w:rFonts w:ascii="Arial" w:eastAsia="Arial" w:hAnsi="Arial" w:cs="Arial"/>
                <w:i/>
                <w:iCs/>
                <w:sz w:val="22"/>
                <w:szCs w:val="22"/>
              </w:rPr>
              <w:t>.</w:t>
            </w:r>
          </w:p>
          <w:p w14:paraId="2722F075" w14:textId="2EA8380C" w:rsidR="6205AE7F" w:rsidRDefault="6205AE7F" w:rsidP="6205AE7F">
            <w:pPr>
              <w:jc w:val="both"/>
              <w:rPr>
                <w:rFonts w:ascii="Arial" w:eastAsia="Arial" w:hAnsi="Arial" w:cs="Arial"/>
                <w:sz w:val="22"/>
                <w:szCs w:val="22"/>
                <w:lang w:val="en-CA"/>
              </w:rPr>
            </w:pPr>
          </w:p>
          <w:p w14:paraId="62DAA8AE" w14:textId="77777777" w:rsidR="0065012F" w:rsidRDefault="47DA83FA" w:rsidP="6205AE7F">
            <w:pPr>
              <w:jc w:val="both"/>
              <w:rPr>
                <w:rFonts w:ascii="Arial" w:eastAsia="Arial" w:hAnsi="Arial" w:cs="Arial"/>
                <w:b/>
                <w:bCs/>
                <w:sz w:val="22"/>
                <w:szCs w:val="22"/>
              </w:rPr>
            </w:pPr>
            <w:r w:rsidRPr="6205AE7F">
              <w:rPr>
                <w:rFonts w:ascii="Arial" w:eastAsia="Arial" w:hAnsi="Arial" w:cs="Arial"/>
                <w:b/>
                <w:bCs/>
                <w:sz w:val="22"/>
                <w:szCs w:val="22"/>
              </w:rPr>
              <w:t>Findings</w:t>
            </w:r>
          </w:p>
          <w:p w14:paraId="26DC99F1" w14:textId="29720D4F" w:rsidR="0065012F" w:rsidRDefault="00367EF0" w:rsidP="6205AE7F">
            <w:pPr>
              <w:jc w:val="both"/>
              <w:rPr>
                <w:rFonts w:ascii="Arial" w:eastAsia="Arial" w:hAnsi="Arial" w:cs="Arial"/>
                <w:sz w:val="22"/>
                <w:szCs w:val="22"/>
                <w:lang w:val="en-CA"/>
              </w:rPr>
            </w:pPr>
            <w:r>
              <w:rPr>
                <w:rFonts w:ascii="Arial" w:eastAsia="Arial" w:hAnsi="Arial" w:cs="Arial"/>
                <w:sz w:val="22"/>
                <w:szCs w:val="22"/>
                <w:lang w:val="en-CA"/>
              </w:rPr>
              <w:t>As well as providing clear policy guidance around barriers and opportunities for blue carbon, t</w:t>
            </w:r>
            <w:r w:rsidR="798BE0C1" w:rsidRPr="6205AE7F">
              <w:rPr>
                <w:rFonts w:ascii="Arial" w:eastAsia="Arial" w:hAnsi="Arial" w:cs="Arial"/>
                <w:sz w:val="22"/>
                <w:szCs w:val="22"/>
                <w:lang w:val="en-CA"/>
              </w:rPr>
              <w:t xml:space="preserve">his </w:t>
            </w:r>
            <w:r>
              <w:rPr>
                <w:rFonts w:ascii="Arial" w:eastAsia="Arial" w:hAnsi="Arial" w:cs="Arial"/>
                <w:sz w:val="22"/>
                <w:szCs w:val="22"/>
                <w:lang w:val="en-CA"/>
              </w:rPr>
              <w:t>study</w:t>
            </w:r>
            <w:r w:rsidR="798BE0C1" w:rsidRPr="6205AE7F">
              <w:rPr>
                <w:rFonts w:ascii="Arial" w:eastAsia="Arial" w:hAnsi="Arial" w:cs="Arial"/>
                <w:sz w:val="22"/>
                <w:szCs w:val="22"/>
                <w:lang w:val="en-CA"/>
              </w:rPr>
              <w:t xml:space="preserve"> confirm</w:t>
            </w:r>
            <w:r>
              <w:rPr>
                <w:rFonts w:ascii="Arial" w:eastAsia="Arial" w:hAnsi="Arial" w:cs="Arial"/>
                <w:sz w:val="22"/>
                <w:szCs w:val="22"/>
                <w:lang w:val="en-CA"/>
              </w:rPr>
              <w:t>s</w:t>
            </w:r>
            <w:r w:rsidR="798BE0C1" w:rsidRPr="6205AE7F">
              <w:rPr>
                <w:rFonts w:ascii="Arial" w:eastAsia="Arial" w:hAnsi="Arial" w:cs="Arial"/>
                <w:sz w:val="22"/>
                <w:szCs w:val="22"/>
                <w:lang w:val="en-CA"/>
              </w:rPr>
              <w:t xml:space="preserve"> a critical need to centre justice and equity in the design of legal and policy frameworks, across all stages and scales, </w:t>
            </w:r>
            <w:proofErr w:type="gramStart"/>
            <w:r w:rsidR="798BE0C1" w:rsidRPr="6205AE7F">
              <w:rPr>
                <w:rFonts w:ascii="Arial" w:eastAsia="Arial" w:hAnsi="Arial" w:cs="Arial"/>
                <w:sz w:val="22"/>
                <w:szCs w:val="22"/>
                <w:lang w:val="en-CA"/>
              </w:rPr>
              <w:t>in order to</w:t>
            </w:r>
            <w:proofErr w:type="gramEnd"/>
            <w:r w:rsidR="798BE0C1" w:rsidRPr="6205AE7F">
              <w:rPr>
                <w:rFonts w:ascii="Arial" w:eastAsia="Arial" w:hAnsi="Arial" w:cs="Arial"/>
                <w:sz w:val="22"/>
                <w:szCs w:val="22"/>
                <w:lang w:val="en-CA"/>
              </w:rPr>
              <w:t xml:space="preserve"> avoid repeating the colonial injustices of the past.</w:t>
            </w:r>
          </w:p>
          <w:p w14:paraId="0A4C0161" w14:textId="424D9448" w:rsidR="6205AE7F" w:rsidRDefault="6205AE7F" w:rsidP="6205AE7F">
            <w:pPr>
              <w:jc w:val="both"/>
              <w:rPr>
                <w:rFonts w:ascii="Arial" w:eastAsia="Arial" w:hAnsi="Arial" w:cs="Arial"/>
                <w:sz w:val="22"/>
                <w:szCs w:val="22"/>
                <w:lang w:val="en-CA"/>
              </w:rPr>
            </w:pPr>
          </w:p>
          <w:p w14:paraId="261EC656" w14:textId="2669F05C" w:rsidR="00C8423A" w:rsidRDefault="47DA83FA" w:rsidP="6205AE7F">
            <w:pPr>
              <w:jc w:val="both"/>
              <w:rPr>
                <w:rFonts w:ascii="Arial" w:eastAsia="Arial" w:hAnsi="Arial" w:cs="Arial"/>
                <w:b/>
                <w:bCs/>
                <w:sz w:val="22"/>
                <w:szCs w:val="22"/>
              </w:rPr>
            </w:pPr>
            <w:r w:rsidRPr="6205AE7F">
              <w:rPr>
                <w:rFonts w:ascii="Arial" w:eastAsia="Arial" w:hAnsi="Arial" w:cs="Arial"/>
                <w:b/>
                <w:bCs/>
                <w:sz w:val="22"/>
                <w:szCs w:val="22"/>
              </w:rPr>
              <w:t xml:space="preserve">Significance of the work for policy and practice </w:t>
            </w:r>
          </w:p>
          <w:p w14:paraId="43CB2428" w14:textId="35F50D64" w:rsidR="00BE58D6" w:rsidRPr="00367EF0" w:rsidRDefault="00367EF0" w:rsidP="6205AE7F">
            <w:pPr>
              <w:jc w:val="both"/>
              <w:rPr>
                <w:rFonts w:ascii="Arial" w:eastAsia="Arial" w:hAnsi="Arial" w:cs="Arial"/>
                <w:sz w:val="22"/>
                <w:szCs w:val="22"/>
              </w:rPr>
            </w:pPr>
            <w:r>
              <w:rPr>
                <w:rFonts w:ascii="Arial" w:eastAsia="Arial" w:hAnsi="Arial" w:cs="Arial"/>
                <w:sz w:val="22"/>
                <w:szCs w:val="22"/>
              </w:rPr>
              <w:t>Many countries, including Aotearoa, are in the early stages of policy development to support blue carbon management and restoration (including</w:t>
            </w:r>
            <w:r w:rsidR="003874EB">
              <w:rPr>
                <w:rFonts w:ascii="Arial" w:eastAsia="Arial" w:hAnsi="Arial" w:cs="Arial"/>
                <w:sz w:val="22"/>
                <w:szCs w:val="22"/>
              </w:rPr>
              <w:t xml:space="preserve"> through carbon and biodiversity markets, climate adaptation planning, and broader natural resource management).</w:t>
            </w:r>
            <w:r>
              <w:rPr>
                <w:rFonts w:ascii="Arial" w:eastAsia="Arial" w:hAnsi="Arial" w:cs="Arial"/>
                <w:sz w:val="22"/>
                <w:szCs w:val="22"/>
              </w:rPr>
              <w:t xml:space="preserve"> </w:t>
            </w:r>
            <w:r w:rsidR="003874EB">
              <w:rPr>
                <w:rFonts w:ascii="Arial" w:eastAsia="Arial" w:hAnsi="Arial" w:cs="Arial"/>
                <w:sz w:val="22"/>
                <w:szCs w:val="22"/>
              </w:rPr>
              <w:t>There is a critical need</w:t>
            </w:r>
            <w:r w:rsidR="005B288A">
              <w:rPr>
                <w:rFonts w:ascii="Arial" w:eastAsia="Arial" w:hAnsi="Arial" w:cs="Arial"/>
                <w:sz w:val="22"/>
                <w:szCs w:val="22"/>
              </w:rPr>
              <w:t>,</w:t>
            </w:r>
            <w:r w:rsidR="003874EB">
              <w:rPr>
                <w:rFonts w:ascii="Arial" w:eastAsia="Arial" w:hAnsi="Arial" w:cs="Arial"/>
                <w:sz w:val="22"/>
                <w:szCs w:val="22"/>
              </w:rPr>
              <w:t xml:space="preserve"> signalled by policymakers and scholars alike</w:t>
            </w:r>
            <w:r w:rsidR="005B288A">
              <w:rPr>
                <w:rFonts w:ascii="Arial" w:eastAsia="Arial" w:hAnsi="Arial" w:cs="Arial"/>
                <w:sz w:val="22"/>
                <w:szCs w:val="22"/>
              </w:rPr>
              <w:t>,</w:t>
            </w:r>
            <w:r w:rsidR="003874EB">
              <w:rPr>
                <w:rFonts w:ascii="Arial" w:eastAsia="Arial" w:hAnsi="Arial" w:cs="Arial"/>
                <w:sz w:val="22"/>
                <w:szCs w:val="22"/>
              </w:rPr>
              <w:t xml:space="preserve"> for research about legal barriers and enablers to inform policy development. </w:t>
            </w:r>
            <w:r w:rsidRPr="00367EF0">
              <w:rPr>
                <w:rFonts w:ascii="Arial" w:eastAsia="Arial" w:hAnsi="Arial" w:cs="Arial"/>
                <w:sz w:val="22"/>
                <w:szCs w:val="22"/>
              </w:rPr>
              <w:t xml:space="preserve">The </w:t>
            </w:r>
            <w:r>
              <w:rPr>
                <w:rFonts w:ascii="Arial" w:eastAsia="Arial" w:hAnsi="Arial" w:cs="Arial"/>
                <w:sz w:val="22"/>
                <w:szCs w:val="22"/>
              </w:rPr>
              <w:t>study</w:t>
            </w:r>
            <w:r w:rsidR="003874EB">
              <w:rPr>
                <w:rFonts w:ascii="Arial" w:eastAsia="Arial" w:hAnsi="Arial" w:cs="Arial"/>
                <w:sz w:val="22"/>
                <w:szCs w:val="22"/>
              </w:rPr>
              <w:t xml:space="preserve"> provides critical early findings to inform policy development in this emerging and significant field.</w:t>
            </w:r>
          </w:p>
          <w:p w14:paraId="4D7B65A8" w14:textId="77777777" w:rsidR="00BE58D6" w:rsidRDefault="00BE58D6" w:rsidP="6205AE7F">
            <w:pPr>
              <w:jc w:val="both"/>
              <w:rPr>
                <w:rFonts w:ascii="Arial" w:eastAsia="Arial" w:hAnsi="Arial" w:cs="Arial"/>
                <w:b/>
                <w:bCs/>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305B" w14:textId="77777777" w:rsidR="001E0645" w:rsidRDefault="001E0645" w:rsidP="003C27DA">
      <w:r>
        <w:separator/>
      </w:r>
    </w:p>
  </w:endnote>
  <w:endnote w:type="continuationSeparator" w:id="0">
    <w:p w14:paraId="688E0DB0" w14:textId="77777777" w:rsidR="001E0645" w:rsidRDefault="001E0645" w:rsidP="003C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7472" w14:textId="49C9F075" w:rsidR="003C27DA" w:rsidRDefault="003C27DA">
    <w:pPr>
      <w:pStyle w:val="Footer"/>
    </w:pPr>
    <w:r>
      <w:rPr>
        <w:noProof/>
      </w:rPr>
      <mc:AlternateContent>
        <mc:Choice Requires="wps">
          <w:drawing>
            <wp:anchor distT="0" distB="0" distL="0" distR="0" simplePos="0" relativeHeight="251659264" behindDoc="0" locked="0" layoutInCell="1" allowOverlap="1" wp14:anchorId="631A8B86" wp14:editId="33E727DC">
              <wp:simplePos x="635" y="635"/>
              <wp:positionH relativeFrom="page">
                <wp:align>center</wp:align>
              </wp:positionH>
              <wp:positionV relativeFrom="page">
                <wp:align>bottom</wp:align>
              </wp:positionV>
              <wp:extent cx="1019175" cy="295275"/>
              <wp:effectExtent l="0" t="0" r="9525" b="0"/>
              <wp:wrapNone/>
              <wp:docPr id="928858383"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295275"/>
                      </a:xfrm>
                      <a:prstGeom prst="rect">
                        <a:avLst/>
                      </a:prstGeom>
                      <a:noFill/>
                      <a:ln>
                        <a:noFill/>
                      </a:ln>
                    </wps:spPr>
                    <wps:txbx>
                      <w:txbxContent>
                        <w:p w14:paraId="1A6E54DF" w14:textId="15BAA20A" w:rsidR="003C27DA" w:rsidRPr="003C27DA" w:rsidRDefault="003C27DA" w:rsidP="003C27DA">
                          <w:pPr>
                            <w:rPr>
                              <w:rFonts w:ascii="Calibri" w:eastAsia="Calibri" w:hAnsi="Calibri" w:cs="Calibri"/>
                              <w:noProof/>
                              <w:color w:val="000000"/>
                              <w:sz w:val="14"/>
                              <w:szCs w:val="14"/>
                            </w:rPr>
                          </w:pPr>
                          <w:r w:rsidRPr="003C27DA">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A8B86" id="_x0000_t202" coordsize="21600,21600" o:spt="202" path="m,l,21600r21600,l21600,xe">
              <v:stroke joinstyle="miter"/>
              <v:path gradientshapeok="t" o:connecttype="rect"/>
            </v:shapetype>
            <v:shape id="Text Box 2" o:spid="_x0000_s1026" type="#_x0000_t202" alt="Classification: In-Confidence" style="position:absolute;margin-left:0;margin-top:0;width:80.25pt;height:23.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" filled="f" stroked="f">
              <v:textbox style="mso-fit-shape-to-text:t" inset="0,0,0,15pt">
                <w:txbxContent>
                  <w:p w14:paraId="1A6E54DF" w14:textId="15BAA20A" w:rsidR="003C27DA" w:rsidRPr="003C27DA" w:rsidRDefault="003C27DA" w:rsidP="003C27DA">
                    <w:pPr>
                      <w:rPr>
                        <w:rFonts w:ascii="Calibri" w:eastAsia="Calibri" w:hAnsi="Calibri" w:cs="Calibri"/>
                        <w:noProof/>
                        <w:color w:val="000000"/>
                        <w:sz w:val="14"/>
                        <w:szCs w:val="14"/>
                      </w:rPr>
                    </w:pPr>
                    <w:r w:rsidRPr="003C27DA">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B591" w14:textId="47012ED3" w:rsidR="003C27DA" w:rsidRDefault="003C27DA">
    <w:pPr>
      <w:pStyle w:val="Footer"/>
    </w:pPr>
    <w:r>
      <w:rPr>
        <w:noProof/>
      </w:rPr>
      <mc:AlternateContent>
        <mc:Choice Requires="wps">
          <w:drawing>
            <wp:anchor distT="0" distB="0" distL="0" distR="0" simplePos="0" relativeHeight="251660288" behindDoc="0" locked="0" layoutInCell="1" allowOverlap="1" wp14:anchorId="136E358A" wp14:editId="71B218DB">
              <wp:simplePos x="635" y="635"/>
              <wp:positionH relativeFrom="page">
                <wp:align>center</wp:align>
              </wp:positionH>
              <wp:positionV relativeFrom="page">
                <wp:align>bottom</wp:align>
              </wp:positionV>
              <wp:extent cx="1019175" cy="295275"/>
              <wp:effectExtent l="0" t="0" r="9525" b="0"/>
              <wp:wrapNone/>
              <wp:docPr id="553206824"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295275"/>
                      </a:xfrm>
                      <a:prstGeom prst="rect">
                        <a:avLst/>
                      </a:prstGeom>
                      <a:noFill/>
                      <a:ln>
                        <a:noFill/>
                      </a:ln>
                    </wps:spPr>
                    <wps:txbx>
                      <w:txbxContent>
                        <w:p w14:paraId="3B86071F" w14:textId="1FCC0A41" w:rsidR="003C27DA" w:rsidRPr="003C27DA" w:rsidRDefault="003C27DA" w:rsidP="003C27DA">
                          <w:pPr>
                            <w:rPr>
                              <w:rFonts w:ascii="Calibri" w:eastAsia="Calibri" w:hAnsi="Calibri" w:cs="Calibri"/>
                              <w:noProof/>
                              <w:color w:val="000000"/>
                              <w:sz w:val="14"/>
                              <w:szCs w:val="14"/>
                            </w:rPr>
                          </w:pPr>
                          <w:r w:rsidRPr="003C27DA">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E358A" id="_x0000_t202" coordsize="21600,21600" o:spt="202" path="m,l,21600r21600,l21600,xe">
              <v:stroke joinstyle="miter"/>
              <v:path gradientshapeok="t" o:connecttype="rect"/>
            </v:shapetype>
            <v:shape id="Text Box 3" o:spid="_x0000_s1027" type="#_x0000_t202" alt="Classification: In-Confidence" style="position:absolute;margin-left:0;margin-top:0;width:80.25pt;height:23.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" filled="f" stroked="f">
              <v:textbox style="mso-fit-shape-to-text:t" inset="0,0,0,15pt">
                <w:txbxContent>
                  <w:p w14:paraId="3B86071F" w14:textId="1FCC0A41" w:rsidR="003C27DA" w:rsidRPr="003C27DA" w:rsidRDefault="003C27DA" w:rsidP="003C27DA">
                    <w:pPr>
                      <w:rPr>
                        <w:rFonts w:ascii="Calibri" w:eastAsia="Calibri" w:hAnsi="Calibri" w:cs="Calibri"/>
                        <w:noProof/>
                        <w:color w:val="000000"/>
                        <w:sz w:val="14"/>
                        <w:szCs w:val="14"/>
                      </w:rPr>
                    </w:pPr>
                    <w:r w:rsidRPr="003C27DA">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8072" w14:textId="1E74061F" w:rsidR="003C27DA" w:rsidRDefault="003C27DA">
    <w:pPr>
      <w:pStyle w:val="Footer"/>
    </w:pPr>
    <w:r>
      <w:rPr>
        <w:noProof/>
      </w:rPr>
      <mc:AlternateContent>
        <mc:Choice Requires="wps">
          <w:drawing>
            <wp:anchor distT="0" distB="0" distL="0" distR="0" simplePos="0" relativeHeight="251658240" behindDoc="0" locked="0" layoutInCell="1" allowOverlap="1" wp14:anchorId="641BA382" wp14:editId="6CA4DA0C">
              <wp:simplePos x="635" y="635"/>
              <wp:positionH relativeFrom="page">
                <wp:align>center</wp:align>
              </wp:positionH>
              <wp:positionV relativeFrom="page">
                <wp:align>bottom</wp:align>
              </wp:positionV>
              <wp:extent cx="1019175" cy="295275"/>
              <wp:effectExtent l="0" t="0" r="9525" b="0"/>
              <wp:wrapNone/>
              <wp:docPr id="678833572"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295275"/>
                      </a:xfrm>
                      <a:prstGeom prst="rect">
                        <a:avLst/>
                      </a:prstGeom>
                      <a:noFill/>
                      <a:ln>
                        <a:noFill/>
                      </a:ln>
                    </wps:spPr>
                    <wps:txbx>
                      <w:txbxContent>
                        <w:p w14:paraId="2839D328" w14:textId="4D6667B1" w:rsidR="003C27DA" w:rsidRPr="003C27DA" w:rsidRDefault="003C27DA" w:rsidP="003C27DA">
                          <w:pPr>
                            <w:rPr>
                              <w:rFonts w:ascii="Calibri" w:eastAsia="Calibri" w:hAnsi="Calibri" w:cs="Calibri"/>
                              <w:noProof/>
                              <w:color w:val="000000"/>
                              <w:sz w:val="14"/>
                              <w:szCs w:val="14"/>
                            </w:rPr>
                          </w:pPr>
                          <w:r w:rsidRPr="003C27DA">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BA382" id="_x0000_t202" coordsize="21600,21600" o:spt="202" path="m,l,21600r21600,l21600,xe">
              <v:stroke joinstyle="miter"/>
              <v:path gradientshapeok="t" o:connecttype="rect"/>
            </v:shapetype>
            <v:shape id="Text Box 1" o:spid="_x0000_s1028" type="#_x0000_t202" alt="Classification: In-Confidence" style="position:absolute;margin-left:0;margin-top:0;width:80.25pt;height:23.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" filled="f" stroked="f">
              <v:textbox style="mso-fit-shape-to-text:t" inset="0,0,0,15pt">
                <w:txbxContent>
                  <w:p w14:paraId="2839D328" w14:textId="4D6667B1" w:rsidR="003C27DA" w:rsidRPr="003C27DA" w:rsidRDefault="003C27DA" w:rsidP="003C27DA">
                    <w:pPr>
                      <w:rPr>
                        <w:rFonts w:ascii="Calibri" w:eastAsia="Calibri" w:hAnsi="Calibri" w:cs="Calibri"/>
                        <w:noProof/>
                        <w:color w:val="000000"/>
                        <w:sz w:val="14"/>
                        <w:szCs w:val="14"/>
                      </w:rPr>
                    </w:pPr>
                    <w:r w:rsidRPr="003C27DA">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576B" w14:textId="77777777" w:rsidR="001E0645" w:rsidRDefault="001E0645" w:rsidP="003C27DA">
      <w:r>
        <w:separator/>
      </w:r>
    </w:p>
  </w:footnote>
  <w:footnote w:type="continuationSeparator" w:id="0">
    <w:p w14:paraId="016060AA" w14:textId="77777777" w:rsidR="001E0645" w:rsidRDefault="001E0645" w:rsidP="003C2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E0645"/>
    <w:rsid w:val="00247C60"/>
    <w:rsid w:val="00256963"/>
    <w:rsid w:val="002E3AA3"/>
    <w:rsid w:val="00317356"/>
    <w:rsid w:val="0034503D"/>
    <w:rsid w:val="00354C31"/>
    <w:rsid w:val="00367EF0"/>
    <w:rsid w:val="00375B20"/>
    <w:rsid w:val="00386D01"/>
    <w:rsid w:val="003874EB"/>
    <w:rsid w:val="003C27DA"/>
    <w:rsid w:val="00400B55"/>
    <w:rsid w:val="004049E7"/>
    <w:rsid w:val="004561B9"/>
    <w:rsid w:val="00462B90"/>
    <w:rsid w:val="004828A0"/>
    <w:rsid w:val="004B69C7"/>
    <w:rsid w:val="004D193B"/>
    <w:rsid w:val="004F4CE8"/>
    <w:rsid w:val="004F5C81"/>
    <w:rsid w:val="0053222C"/>
    <w:rsid w:val="005469BD"/>
    <w:rsid w:val="00550B17"/>
    <w:rsid w:val="005854B8"/>
    <w:rsid w:val="005B288A"/>
    <w:rsid w:val="00622A59"/>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CF3C3A"/>
    <w:rsid w:val="00D454CD"/>
    <w:rsid w:val="00D716AD"/>
    <w:rsid w:val="00DB1C1B"/>
    <w:rsid w:val="00DB7929"/>
    <w:rsid w:val="00DD1BB3"/>
    <w:rsid w:val="00E612FF"/>
    <w:rsid w:val="00EA5C44"/>
    <w:rsid w:val="00EB1B31"/>
    <w:rsid w:val="00F818D6"/>
    <w:rsid w:val="00FA372B"/>
    <w:rsid w:val="0FF548DA"/>
    <w:rsid w:val="168CA01A"/>
    <w:rsid w:val="204BD732"/>
    <w:rsid w:val="3B9B004E"/>
    <w:rsid w:val="42422FCA"/>
    <w:rsid w:val="47DA83FA"/>
    <w:rsid w:val="4C4AF574"/>
    <w:rsid w:val="50078D83"/>
    <w:rsid w:val="6088ECFF"/>
    <w:rsid w:val="6205AE7F"/>
    <w:rsid w:val="6273E921"/>
    <w:rsid w:val="6907D802"/>
    <w:rsid w:val="76C7BE6E"/>
    <w:rsid w:val="798BE0C1"/>
    <w:rsid w:val="7A2E578C"/>
    <w:rsid w:val="7FB48148"/>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3C27DA"/>
    <w:pPr>
      <w:tabs>
        <w:tab w:val="center" w:pos="4680"/>
        <w:tab w:val="right" w:pos="9360"/>
      </w:tabs>
    </w:pPr>
  </w:style>
  <w:style w:type="character" w:customStyle="1" w:styleId="FooterChar">
    <w:name w:val="Footer Char"/>
    <w:basedOn w:val="DefaultParagraphFont"/>
    <w:link w:val="Footer"/>
    <w:uiPriority w:val="99"/>
    <w:rsid w:val="003C2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cab52c9b-ab33-4221-8af9-54f8f2b86a80"/>
    <ds:schemaRef ds:uri="http://schemas.microsoft.com/office/2006/metadata/properties"/>
    <ds:schemaRef ds:uri="9c8a2b7b-0bee-4c48-b0a6-23db8982d3bc"/>
    <ds:schemaRef ds:uri="6911e96c-4cc4-42d5-8e43-f93924cf6a05"/>
    <ds:schemaRef ds:uri="http://purl.org/dc/terms/"/>
  </ds:schemaRefs>
</ds:datastoreItem>
</file>

<file path=customXml/itemProps3.xml><?xml version="1.0" encoding="utf-8"?>
<ds:datastoreItem xmlns:ds="http://schemas.openxmlformats.org/officeDocument/2006/customXml" ds:itemID="{6185BB23-500F-4475-B584-352A2DC4D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2025-01-21T22:19:00Z</dcterms:created>
  <dcterms:modified xsi:type="dcterms:W3CDTF">2025-08-11T22:55:00Z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28762da4,375d410f,20f94428</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2025-01-21T22:02:05Z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d84777fd-43be-410f-a12a-0d48b498dd2d</vt:lpwstr>
  </property>
  <property fmtid="{D5CDD505-2E9C-101B-9397-08002B2CF9AE}" pid="13" name="MSIP_Label_d2b2326c-f811-4ccc-abcb-1b955c303c2e_ContentBits">
    <vt:lpwstr>2</vt:lpwstr>
  </property>
  <property fmtid="{D5CDD505-2E9C-101B-9397-08002B2CF9AE}" pid="14" name="MSIP_Label_d2b2326c-f811-4ccc-abcb-1b955c303c2e_Tag">
    <vt:lpwstr>10, 3, 0, 2</vt:lpwstr>
  </property>
</Properties>
</file>