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D83F9FC" w:rsidR="002B7FC8" w:rsidRPr="00C551EB" w:rsidRDefault="0065760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51EB">
              <w:rPr>
                <w:rFonts w:ascii="Arial" w:hAnsi="Arial" w:cs="Arial"/>
                <w:b/>
              </w:rPr>
              <w:t>Health Literacy in a Social Context: Measurement, Research Gaps, and Future Directions</w:t>
            </w:r>
          </w:p>
        </w:tc>
      </w:tr>
      <w:tr w:rsidR="002B7FC8" w:rsidRPr="0003525D" w14:paraId="5A4DE264" w14:textId="77777777" w:rsidTr="00657604">
        <w:trPr>
          <w:trHeight w:val="620"/>
        </w:trPr>
        <w:tc>
          <w:tcPr>
            <w:tcW w:w="8640" w:type="dxa"/>
          </w:tcPr>
          <w:p w14:paraId="590A104A" w14:textId="77777777" w:rsidR="00657604" w:rsidRPr="00AE4322" w:rsidRDefault="00C73E89" w:rsidP="006576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  <w:r w:rsidR="0065760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657604" w:rsidRPr="00E40575">
              <w:rPr>
                <w:rFonts w:ascii="Arial" w:hAnsi="Arial" w:cs="Arial"/>
                <w:sz w:val="22"/>
                <w:szCs w:val="22"/>
              </w:rPr>
              <w:t>Health literacy is often defined as “the degree to which an individual has the capacity to obtain, process, and understand basic health information and services to make appropriate health decisions.”</w:t>
            </w:r>
            <w:r w:rsidR="00657604" w:rsidRPr="00E4057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57604" w:rsidRPr="00E40575">
              <w:rPr>
                <w:rFonts w:ascii="Arial" w:hAnsi="Arial" w:cs="Arial"/>
                <w:sz w:val="22"/>
                <w:szCs w:val="22"/>
              </w:rPr>
              <w:t xml:space="preserve">But individuals rarely experience chronic illness, confront health crises, and/or make health decisions alone. A socially contextualized consideration of health literacy is strongly </w:t>
            </w:r>
            <w:r w:rsidR="00657604">
              <w:rPr>
                <w:rFonts w:ascii="Arial" w:hAnsi="Arial" w:cs="Arial"/>
                <w:sz w:val="22"/>
                <w:szCs w:val="22"/>
              </w:rPr>
              <w:t>supported by theory and</w:t>
            </w:r>
            <w:r w:rsidR="00657604" w:rsidRPr="00E40575">
              <w:rPr>
                <w:rFonts w:ascii="Arial" w:hAnsi="Arial" w:cs="Arial"/>
                <w:sz w:val="22"/>
                <w:szCs w:val="22"/>
              </w:rPr>
              <w:t xml:space="preserve"> aligns with definitions of health literacy used in many international settings</w:t>
            </w:r>
            <w:r w:rsidR="006576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1FD7F2" w14:textId="77777777" w:rsidR="00657604" w:rsidRPr="00E40575" w:rsidRDefault="00657604" w:rsidP="006576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AC62CA" w14:textId="3034C92E" w:rsidR="00657604" w:rsidRDefault="00657604" w:rsidP="006576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  <w:lang w:val="en-US"/>
              </w:rPr>
              <w:t>A small, but growing body of empirical health literacy research looks bey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ond the individual level to </w:t>
            </w:r>
            <w:r w:rsidRPr="00E40575">
              <w:rPr>
                <w:rFonts w:ascii="Arial" w:hAnsi="Arial" w:cs="Arial"/>
                <w:sz w:val="22"/>
                <w:szCs w:val="22"/>
                <w:lang w:val="en-US"/>
              </w:rPr>
              <w:t xml:space="preserve">social structures in which people live (e.g.,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families, social networks)</w:t>
            </w:r>
            <w:r w:rsidRPr="00E40575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9207F3">
              <w:rPr>
                <w:rFonts w:ascii="Arial" w:hAnsi="Arial" w:cs="Arial"/>
                <w:sz w:val="22"/>
                <w:szCs w:val="22"/>
                <w:lang w:val="en-US"/>
              </w:rPr>
              <w:t>However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9207F3">
              <w:rPr>
                <w:rFonts w:ascii="Arial" w:hAnsi="Arial" w:cs="Arial"/>
                <w:sz w:val="22"/>
                <w:szCs w:val="22"/>
                <w:lang w:val="en-US"/>
              </w:rPr>
              <w:t xml:space="preserve"> this research lacks a cohesive, international research agenda, with fragmentation across research disciplines, health topics, and countries.</w:t>
            </w:r>
          </w:p>
          <w:p w14:paraId="5256AD3C" w14:textId="77777777" w:rsidR="00657604" w:rsidRDefault="00657604" w:rsidP="006576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6240A612" w14:textId="77777777" w:rsidR="00657604" w:rsidRPr="00E40575" w:rsidRDefault="00657604" w:rsidP="006576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his workshop </w:t>
            </w:r>
            <w:r>
              <w:rPr>
                <w:rFonts w:ascii="Arial" w:hAnsi="Arial" w:cs="Arial"/>
                <w:sz w:val="22"/>
                <w:szCs w:val="22"/>
              </w:rPr>
              <w:t>will provide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 tools,</w:t>
            </w:r>
            <w:r>
              <w:rPr>
                <w:rFonts w:ascii="Arial" w:hAnsi="Arial" w:cs="Arial"/>
                <w:sz w:val="22"/>
                <w:szCs w:val="22"/>
              </w:rPr>
              <w:t xml:space="preserve"> hands-on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 experience, and</w:t>
            </w:r>
            <w:r>
              <w:rPr>
                <w:rFonts w:ascii="Arial" w:hAnsi="Arial" w:cs="Arial"/>
                <w:sz w:val="22"/>
                <w:szCs w:val="22"/>
              </w:rPr>
              <w:t xml:space="preserve"> fruitful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 conversations to encourage and support research and action </w:t>
            </w:r>
            <w:r>
              <w:rPr>
                <w:rFonts w:ascii="Arial" w:hAnsi="Arial" w:cs="Arial"/>
                <w:sz w:val="22"/>
                <w:szCs w:val="22"/>
              </w:rPr>
              <w:t>considering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 health literacy in a social context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40575">
              <w:rPr>
                <w:rFonts w:ascii="Arial" w:eastAsia="Calibri" w:hAnsi="Arial" w:cs="Arial"/>
                <w:sz w:val="22"/>
                <w:szCs w:val="22"/>
              </w:rPr>
              <w:t xml:space="preserve">Such </w:t>
            </w:r>
            <w:r>
              <w:rPr>
                <w:rFonts w:ascii="Arial" w:eastAsia="Calibri" w:hAnsi="Arial" w:cs="Arial"/>
                <w:sz w:val="22"/>
                <w:szCs w:val="22"/>
              </w:rPr>
              <w:t>knowledge</w:t>
            </w:r>
            <w:r w:rsidRPr="00E40575">
              <w:rPr>
                <w:rFonts w:ascii="Arial" w:eastAsia="Calibri" w:hAnsi="Arial" w:cs="Arial"/>
                <w:sz w:val="22"/>
                <w:szCs w:val="22"/>
              </w:rPr>
              <w:t xml:space="preserve"> is critical for designing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effective</w:t>
            </w:r>
            <w:r w:rsidRPr="00E40575">
              <w:rPr>
                <w:rFonts w:ascii="Arial" w:eastAsia="Calibri" w:hAnsi="Arial" w:cs="Arial"/>
                <w:sz w:val="22"/>
                <w:szCs w:val="22"/>
              </w:rPr>
              <w:t xml:space="preserve"> interventions to promote better health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and reduce health inequities, especially in </w:t>
            </w:r>
            <w:r w:rsidRPr="00E40575">
              <w:rPr>
                <w:rFonts w:ascii="Arial" w:eastAsia="Calibri" w:hAnsi="Arial" w:cs="Arial"/>
                <w:sz w:val="22"/>
                <w:szCs w:val="22"/>
              </w:rPr>
              <w:t xml:space="preserve">cultural groups </w:t>
            </w:r>
            <w:r>
              <w:rPr>
                <w:rFonts w:ascii="Arial" w:eastAsia="Calibri" w:hAnsi="Arial" w:cs="Arial"/>
                <w:sz w:val="22"/>
                <w:szCs w:val="22"/>
              </w:rPr>
              <w:t>with</w:t>
            </w:r>
            <w:r w:rsidRPr="00E40575">
              <w:rPr>
                <w:rFonts w:ascii="Arial" w:eastAsia="Calibri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communal perspective on health, migrant groups drawing on social networks to navigate health systems, or those seeking to integrate cultural perspectives on health.</w:t>
            </w:r>
          </w:p>
          <w:p w14:paraId="652FE11F" w14:textId="77777777" w:rsidR="00657604" w:rsidRPr="00E40575" w:rsidRDefault="00657604" w:rsidP="0065760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8DC4145" w14:textId="1BCE67AC" w:rsidR="00657604" w:rsidRPr="00E40575" w:rsidRDefault="00657604" w:rsidP="006576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Specific objectives</w:t>
            </w:r>
            <w:r>
              <w:rPr>
                <w:rFonts w:ascii="Arial" w:hAnsi="Arial" w:cs="Arial"/>
                <w:sz w:val="22"/>
                <w:szCs w:val="22"/>
              </w:rPr>
              <w:t>: (1) Review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0575">
              <w:rPr>
                <w:rFonts w:ascii="Arial" w:eastAsia="Calibri" w:hAnsi="Arial" w:cs="Arial"/>
                <w:sz w:val="22"/>
                <w:szCs w:val="22"/>
              </w:rPr>
              <w:t>global research evidence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 about health literacy in a social context</w:t>
            </w:r>
            <w:r>
              <w:rPr>
                <w:rFonts w:ascii="Arial" w:hAnsi="Arial" w:cs="Arial"/>
                <w:sz w:val="22"/>
                <w:szCs w:val="22"/>
              </w:rPr>
              <w:t>, especially for health equity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; (2) Discuss </w:t>
            </w:r>
            <w:r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gaps; (3) Consider appropriate measurement tools; (4) Practice </w:t>
            </w:r>
            <w:r>
              <w:rPr>
                <w:rFonts w:ascii="Arial" w:hAnsi="Arial" w:cs="Arial"/>
                <w:sz w:val="22"/>
                <w:szCs w:val="22"/>
              </w:rPr>
              <w:t>using relevant tools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; and (5) Generate new research ideas and </w:t>
            </w:r>
            <w:r>
              <w:rPr>
                <w:rFonts w:ascii="Arial" w:hAnsi="Arial" w:cs="Arial"/>
                <w:sz w:val="22"/>
                <w:szCs w:val="22"/>
              </w:rPr>
              <w:t>discuss next steps in this research agenda</w:t>
            </w:r>
            <w:r w:rsidRPr="00E4057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667135F8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E72E99D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236A4DF8" w14:textId="77777777" w:rsidR="00657604" w:rsidRPr="00E40575" w:rsidRDefault="00657604" w:rsidP="006576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r w:rsidRPr="00E40575">
              <w:rPr>
                <w:rFonts w:ascii="Arial" w:eastAsia="Calibri" w:hAnsi="Arial" w:cs="Arial"/>
                <w:sz w:val="22"/>
                <w:szCs w:val="22"/>
              </w:rPr>
              <w:t>global research evidence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 about health literacy in a s</w:t>
            </w:r>
            <w:r>
              <w:rPr>
                <w:rFonts w:ascii="Arial" w:hAnsi="Arial" w:cs="Arial"/>
                <w:sz w:val="22"/>
                <w:szCs w:val="22"/>
              </w:rPr>
              <w:t>ocial context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0575">
              <w:rPr>
                <w:rFonts w:ascii="Arial" w:hAnsi="Arial" w:cs="Arial"/>
                <w:sz w:val="22"/>
                <w:szCs w:val="22"/>
                <w:u w:val="single"/>
              </w:rPr>
              <w:t>Format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: Lecture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 questions and answers (20 min)</w:t>
            </w:r>
          </w:p>
          <w:p w14:paraId="24C41282" w14:textId="77777777" w:rsidR="00657604" w:rsidRPr="00E40575" w:rsidRDefault="00657604" w:rsidP="006576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</w:rPr>
              <w:t xml:space="preserve">Discuss </w:t>
            </w:r>
            <w:r>
              <w:rPr>
                <w:rFonts w:ascii="Arial" w:hAnsi="Arial" w:cs="Arial"/>
                <w:sz w:val="22"/>
                <w:szCs w:val="22"/>
              </w:rPr>
              <w:t>research gaps</w:t>
            </w:r>
          </w:p>
          <w:p w14:paraId="1106C4EB" w14:textId="77777777" w:rsidR="00657604" w:rsidRPr="00E40575" w:rsidRDefault="00657604" w:rsidP="00657604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  <w:u w:val="single"/>
              </w:rPr>
              <w:t>Format</w:t>
            </w:r>
            <w:r>
              <w:rPr>
                <w:rFonts w:ascii="Arial" w:hAnsi="Arial" w:cs="Arial"/>
                <w:sz w:val="22"/>
                <w:szCs w:val="22"/>
              </w:rPr>
              <w:t>: Small group</w:t>
            </w:r>
            <w:r w:rsidRPr="00E40575">
              <w:rPr>
                <w:rFonts w:ascii="Arial" w:hAnsi="Arial" w:cs="Arial"/>
                <w:sz w:val="22"/>
                <w:szCs w:val="22"/>
              </w:rPr>
              <w:t>s (10 min)</w:t>
            </w:r>
          </w:p>
          <w:p w14:paraId="3399E262" w14:textId="77777777" w:rsidR="00657604" w:rsidRPr="00E40575" w:rsidRDefault="00657604" w:rsidP="006576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</w:rPr>
              <w:t>Consider appropriat</w:t>
            </w:r>
            <w:r>
              <w:rPr>
                <w:rFonts w:ascii="Arial" w:hAnsi="Arial" w:cs="Arial"/>
                <w:sz w:val="22"/>
                <w:szCs w:val="22"/>
              </w:rPr>
              <w:t>e measurement tools and methods</w:t>
            </w:r>
          </w:p>
          <w:p w14:paraId="318E882B" w14:textId="77777777" w:rsidR="00657604" w:rsidRPr="00E40575" w:rsidRDefault="00657604" w:rsidP="00657604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  <w:u w:val="single"/>
              </w:rPr>
              <w:t>Format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: Lecture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 questions and answers (20 min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7ADBD65" w14:textId="77777777" w:rsidR="00657604" w:rsidRPr="00E40575" w:rsidRDefault="00657604" w:rsidP="00657604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*Break (5 min)</w:t>
            </w:r>
          </w:p>
          <w:p w14:paraId="4B77FAA3" w14:textId="77777777" w:rsidR="00657604" w:rsidRDefault="00657604" w:rsidP="006576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</w:rPr>
              <w:t xml:space="preserve">Practice tools </w:t>
            </w:r>
            <w:r>
              <w:rPr>
                <w:rFonts w:ascii="Arial" w:hAnsi="Arial" w:cs="Arial"/>
                <w:sz w:val="22"/>
                <w:szCs w:val="22"/>
              </w:rPr>
              <w:t>and consider strengths and weaknesses</w:t>
            </w:r>
          </w:p>
          <w:p w14:paraId="54D71EAC" w14:textId="77777777" w:rsidR="00657604" w:rsidRPr="00E40575" w:rsidRDefault="00657604" w:rsidP="00657604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  <w:u w:val="single"/>
              </w:rPr>
              <w:t>Format</w:t>
            </w:r>
            <w:r>
              <w:rPr>
                <w:rFonts w:ascii="Arial" w:hAnsi="Arial" w:cs="Arial"/>
                <w:sz w:val="22"/>
                <w:szCs w:val="22"/>
              </w:rPr>
              <w:t>: Small group</w:t>
            </w:r>
            <w:r w:rsidRPr="00E40575">
              <w:rPr>
                <w:rFonts w:ascii="Arial" w:hAnsi="Arial" w:cs="Arial"/>
                <w:sz w:val="22"/>
                <w:szCs w:val="22"/>
              </w:rPr>
              <w:t>s (4</w:t>
            </w:r>
            <w:r>
              <w:rPr>
                <w:rFonts w:ascii="Arial" w:hAnsi="Arial" w:cs="Arial"/>
                <w:sz w:val="22"/>
                <w:szCs w:val="22"/>
              </w:rPr>
              <w:t>0 min)</w:t>
            </w:r>
          </w:p>
          <w:p w14:paraId="5BC0960F" w14:textId="77777777" w:rsidR="00657604" w:rsidRPr="00E40575" w:rsidRDefault="00657604" w:rsidP="00657604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4994AB" w14:textId="77777777" w:rsidR="00657604" w:rsidRPr="00E40575" w:rsidRDefault="00657604" w:rsidP="006576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</w:rPr>
              <w:t>Discuss research opportunities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for </w:t>
            </w:r>
            <w:r>
              <w:rPr>
                <w:rFonts w:ascii="Arial" w:hAnsi="Arial" w:cs="Arial"/>
                <w:sz w:val="22"/>
                <w:szCs w:val="22"/>
              </w:rPr>
              <w:t>this topic</w:t>
            </w:r>
          </w:p>
          <w:p w14:paraId="4FD92815" w14:textId="77777777" w:rsidR="00657604" w:rsidRPr="00E40575" w:rsidRDefault="00657604" w:rsidP="00657604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  <w:u w:val="single"/>
              </w:rPr>
              <w:t>Format</w:t>
            </w:r>
            <w:r w:rsidRPr="00E40575">
              <w:rPr>
                <w:rFonts w:ascii="Arial" w:hAnsi="Arial" w:cs="Arial"/>
                <w:sz w:val="22"/>
                <w:szCs w:val="22"/>
              </w:rPr>
              <w:t>: Open discussion (10 min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A4DE25C" w14:textId="748A2632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1C5692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6E14E943" w14:textId="77777777" w:rsidR="00657604" w:rsidRPr="00E40575" w:rsidRDefault="00657604" w:rsidP="006576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</w:rPr>
              <w:t>At the end of this workshop, participants will:</w:t>
            </w:r>
          </w:p>
          <w:p w14:paraId="3345928C" w14:textId="77777777" w:rsidR="00657604" w:rsidRPr="009207F3" w:rsidRDefault="00657604" w:rsidP="0065760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</w:rPr>
              <w:t>Identify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E40575">
              <w:rPr>
                <w:rFonts w:ascii="Arial" w:hAnsi="Arial" w:cs="Arial"/>
                <w:sz w:val="22"/>
                <w:szCs w:val="22"/>
              </w:rPr>
              <w:t xml:space="preserve"> landscape of empirical evidence around this topic, relevant theoretical frameworks, a</w:t>
            </w:r>
            <w:r>
              <w:rPr>
                <w:rFonts w:ascii="Arial" w:hAnsi="Arial" w:cs="Arial"/>
                <w:sz w:val="22"/>
                <w:szCs w:val="22"/>
              </w:rPr>
              <w:t>nd research gaps.</w:t>
            </w:r>
          </w:p>
          <w:p w14:paraId="0F13CB38" w14:textId="77777777" w:rsidR="00657604" w:rsidRPr="009207F3" w:rsidRDefault="00657604" w:rsidP="0065760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E40575">
              <w:rPr>
                <w:rFonts w:ascii="Arial" w:hAnsi="Arial" w:cs="Arial"/>
                <w:sz w:val="22"/>
                <w:szCs w:val="22"/>
              </w:rPr>
              <w:t>measurement tools as an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interviewer and an interviewee.</w:t>
            </w:r>
          </w:p>
          <w:p w14:paraId="5A4DE263" w14:textId="69052B55" w:rsidR="00DA7A71" w:rsidRPr="00657604" w:rsidRDefault="0065760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40575">
              <w:rPr>
                <w:rFonts w:ascii="Arial" w:hAnsi="Arial" w:cs="Arial"/>
                <w:sz w:val="22"/>
                <w:szCs w:val="22"/>
              </w:rPr>
              <w:t>Formulate new project ideas to meet critical evidence gaps 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0575">
              <w:rPr>
                <w:rFonts w:ascii="Arial" w:hAnsi="Arial" w:cs="Arial"/>
                <w:sz w:val="22"/>
                <w:szCs w:val="22"/>
              </w:rPr>
              <w:t>health promotion in communities leveraging social relationships.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612BC"/>
    <w:multiLevelType w:val="hybridMultilevel"/>
    <w:tmpl w:val="B102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A3503"/>
    <w:multiLevelType w:val="hybridMultilevel"/>
    <w:tmpl w:val="96A2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64331"/>
    <w:rsid w:val="00590824"/>
    <w:rsid w:val="005F7DC7"/>
    <w:rsid w:val="00657604"/>
    <w:rsid w:val="006605DB"/>
    <w:rsid w:val="00663BFF"/>
    <w:rsid w:val="006C6E32"/>
    <w:rsid w:val="0070252B"/>
    <w:rsid w:val="00714C46"/>
    <w:rsid w:val="007A2A9C"/>
    <w:rsid w:val="0082392D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BF0208"/>
    <w:rsid w:val="00C211D2"/>
    <w:rsid w:val="00C551EB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657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9c8a2b7b-0bee-4c48-b0a6-23db8982d3b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911e96c-4cc4-42d5-8e43-f93924cf6a0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08A91-DD17-43A8-8BAB-DC1B3E143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2220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2018-09-16T11:45:00Z</dcterms:created>
  <dcterms:modified xsi:type="dcterms:W3CDTF">2018-09-16T11:45:00Z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