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2420" w14:textId="77777777" w:rsidR="004158CB" w:rsidRPr="00A64AA3" w:rsidRDefault="004158CB">
      <w:pPr>
        <w:rPr>
          <w:rFonts w:ascii="Arial" w:eastAsia="Arial" w:hAnsi="Arial" w:cs="Arial"/>
          <w:bCs/>
          <w:sz w:val="22"/>
          <w:szCs w:val="22"/>
        </w:rPr>
      </w:pPr>
    </w:p>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4158CB" w:rsidRPr="00A64AA3" w14:paraId="7F695B4C" w14:textId="77777777">
        <w:tc>
          <w:tcPr>
            <w:tcW w:w="8640" w:type="dxa"/>
            <w:shd w:val="clear" w:color="auto" w:fill="F2F2F2"/>
          </w:tcPr>
          <w:p w14:paraId="52A110AB" w14:textId="4165471E" w:rsidR="004158CB" w:rsidRPr="00BB1AF7" w:rsidRDefault="00BB1AF7">
            <w:pPr>
              <w:jc w:val="both"/>
              <w:rPr>
                <w:rFonts w:ascii="Arial" w:eastAsia="Arial" w:hAnsi="Arial" w:cs="Arial"/>
                <w:bCs/>
                <w:i/>
                <w:iCs/>
                <w:sz w:val="22"/>
                <w:szCs w:val="22"/>
              </w:rPr>
            </w:pPr>
            <w:r w:rsidRPr="00BB1AF7">
              <w:rPr>
                <w:rFonts w:ascii="Arial" w:eastAsia="Arial" w:hAnsi="Arial" w:cs="Arial"/>
                <w:bCs/>
                <w:i/>
                <w:iCs/>
                <w:sz w:val="22"/>
                <w:szCs w:val="22"/>
              </w:rPr>
              <w:t>Paper</w:t>
            </w:r>
          </w:p>
          <w:p w14:paraId="080942EC" w14:textId="77777777" w:rsidR="004158CB" w:rsidRPr="00BB1AF7" w:rsidRDefault="00A64AA3">
            <w:pPr>
              <w:jc w:val="both"/>
              <w:rPr>
                <w:rFonts w:ascii="Arial" w:eastAsia="Arial" w:hAnsi="Arial" w:cs="Arial"/>
                <w:b/>
                <w:sz w:val="22"/>
                <w:szCs w:val="22"/>
              </w:rPr>
            </w:pPr>
            <w:r w:rsidRPr="00BB1AF7">
              <w:rPr>
                <w:rFonts w:ascii="Arial" w:eastAsia="Arial" w:hAnsi="Arial" w:cs="Arial"/>
                <w:b/>
                <w:sz w:val="22"/>
                <w:szCs w:val="22"/>
              </w:rPr>
              <w:t>Indigenous-based approaches to Climate Adaptation and Emergency Management</w:t>
            </w:r>
          </w:p>
          <w:p w14:paraId="66590032" w14:textId="77777777" w:rsidR="004158CB" w:rsidRPr="00A64AA3" w:rsidRDefault="004158CB">
            <w:pPr>
              <w:tabs>
                <w:tab w:val="left" w:pos="3386"/>
              </w:tabs>
              <w:jc w:val="both"/>
              <w:rPr>
                <w:rFonts w:ascii="Arial" w:eastAsia="Arial" w:hAnsi="Arial" w:cs="Arial"/>
                <w:bCs/>
                <w:sz w:val="22"/>
                <w:szCs w:val="22"/>
              </w:rPr>
            </w:pPr>
          </w:p>
        </w:tc>
      </w:tr>
      <w:tr w:rsidR="004158CB" w:rsidRPr="00A64AA3" w14:paraId="34A76B5B" w14:textId="77777777">
        <w:trPr>
          <w:trHeight w:val="3124"/>
        </w:trPr>
        <w:tc>
          <w:tcPr>
            <w:tcW w:w="8640" w:type="dxa"/>
          </w:tcPr>
          <w:p w14:paraId="72DB5D43" w14:textId="77777777" w:rsidR="00BB1AF7" w:rsidRDefault="00BB1AF7" w:rsidP="00A64AA3">
            <w:pPr>
              <w:pStyle w:val="NormalWeb"/>
              <w:rPr>
                <w:rStyle w:val="Strong"/>
                <w:rFonts w:ascii="Arial" w:hAnsi="Arial" w:cs="Arial"/>
                <w:bCs w:val="0"/>
                <w:sz w:val="22"/>
                <w:szCs w:val="22"/>
              </w:rPr>
            </w:pPr>
          </w:p>
          <w:p w14:paraId="3D705308" w14:textId="74A82D36" w:rsidR="00A64AA3" w:rsidRPr="00A64AA3" w:rsidRDefault="00A64AA3" w:rsidP="00A64AA3">
            <w:pPr>
              <w:pStyle w:val="NormalWeb"/>
              <w:rPr>
                <w:rFonts w:ascii="Arial" w:hAnsi="Arial" w:cs="Arial"/>
                <w:bCs/>
                <w:sz w:val="22"/>
                <w:szCs w:val="22"/>
              </w:rPr>
            </w:pPr>
            <w:r w:rsidRPr="00A64AA3">
              <w:rPr>
                <w:rStyle w:val="Strong"/>
                <w:rFonts w:ascii="Arial" w:hAnsi="Arial" w:cs="Arial"/>
                <w:bCs w:val="0"/>
                <w:sz w:val="22"/>
                <w:szCs w:val="22"/>
              </w:rPr>
              <w:t>Introduction</w:t>
            </w:r>
          </w:p>
          <w:p w14:paraId="3FD3B992" w14:textId="607ABE85" w:rsidR="00A64AA3" w:rsidRPr="00A64AA3" w:rsidRDefault="00A64AA3" w:rsidP="00A64AA3">
            <w:pPr>
              <w:pStyle w:val="NormalWeb"/>
              <w:rPr>
                <w:rFonts w:ascii="Arial" w:hAnsi="Arial" w:cs="Arial"/>
                <w:bCs/>
                <w:sz w:val="22"/>
                <w:szCs w:val="22"/>
              </w:rPr>
            </w:pPr>
            <w:r w:rsidRPr="00A64AA3">
              <w:rPr>
                <w:rFonts w:ascii="Arial" w:hAnsi="Arial" w:cs="Arial"/>
                <w:bCs/>
                <w:sz w:val="22"/>
                <w:szCs w:val="22"/>
              </w:rPr>
              <w:t xml:space="preserve">Climate change is impacting Māori communities now, particularly those in rural and coastal areas. Through Pou Take </w:t>
            </w:r>
            <w:proofErr w:type="spellStart"/>
            <w:r w:rsidRPr="00A64AA3">
              <w:rPr>
                <w:rFonts w:ascii="Arial" w:hAnsi="Arial" w:cs="Arial"/>
                <w:bCs/>
                <w:sz w:val="22"/>
                <w:szCs w:val="22"/>
              </w:rPr>
              <w:t>Āhuarangi</w:t>
            </w:r>
            <w:proofErr w:type="spellEnd"/>
            <w:r w:rsidRPr="00A64AA3">
              <w:rPr>
                <w:rFonts w:ascii="Arial" w:hAnsi="Arial" w:cs="Arial"/>
                <w:bCs/>
                <w:sz w:val="22"/>
                <w:szCs w:val="22"/>
              </w:rPr>
              <w:t xml:space="preserve"> - the Climate Pou of the National Iwi Chairs Forum, we have led efforts to shape and influence climate policy and action in a way that aligns with iwi, hapū, and marae aspirations. By integrating </w:t>
            </w:r>
            <w:proofErr w:type="spellStart"/>
            <w:r w:rsidRPr="00A64AA3">
              <w:rPr>
                <w:rFonts w:ascii="Arial" w:hAnsi="Arial" w:cs="Arial"/>
                <w:bCs/>
                <w:sz w:val="22"/>
                <w:szCs w:val="22"/>
              </w:rPr>
              <w:t>mātauranga</w:t>
            </w:r>
            <w:proofErr w:type="spellEnd"/>
            <w:r w:rsidRPr="00A64AA3">
              <w:rPr>
                <w:rFonts w:ascii="Arial" w:hAnsi="Arial" w:cs="Arial"/>
                <w:bCs/>
                <w:sz w:val="22"/>
                <w:szCs w:val="22"/>
              </w:rPr>
              <w:t>-a-iwi, we ensure long-term climate resilience for our communities, reinforcing Indigenous knowledge systems within climate adaptation and mitigation strategies.</w:t>
            </w:r>
          </w:p>
          <w:p w14:paraId="3882D98D" w14:textId="77777777" w:rsidR="00A64AA3" w:rsidRPr="00A64AA3" w:rsidRDefault="00A64AA3" w:rsidP="00A64AA3">
            <w:pPr>
              <w:pStyle w:val="NormalWeb"/>
              <w:rPr>
                <w:rFonts w:ascii="Arial" w:hAnsi="Arial" w:cs="Arial"/>
                <w:bCs/>
                <w:sz w:val="22"/>
                <w:szCs w:val="22"/>
              </w:rPr>
            </w:pPr>
            <w:r w:rsidRPr="00A64AA3">
              <w:rPr>
                <w:rFonts w:ascii="Arial" w:hAnsi="Arial" w:cs="Arial"/>
                <w:bCs/>
                <w:sz w:val="22"/>
                <w:szCs w:val="22"/>
              </w:rPr>
              <w:t>Our work spans advocacy, policy influence, and community-led initiatives that demonstrate the critical role of iwi-led climate action. Through adaptation planning, emergency response, and strategic partnerships, we are showcasing how Indigenous leadership can contribute meaningfully to both national and global adaptation efforts.</w:t>
            </w:r>
          </w:p>
          <w:p w14:paraId="0EE0C2F4" w14:textId="77777777" w:rsidR="00A64AA3" w:rsidRPr="00A64AA3" w:rsidRDefault="00A64AA3" w:rsidP="00A64AA3">
            <w:pPr>
              <w:pStyle w:val="NormalWeb"/>
              <w:rPr>
                <w:rFonts w:ascii="Arial" w:hAnsi="Arial" w:cs="Arial"/>
                <w:bCs/>
                <w:sz w:val="22"/>
                <w:szCs w:val="22"/>
              </w:rPr>
            </w:pPr>
            <w:r w:rsidRPr="00A64AA3">
              <w:rPr>
                <w:rFonts w:ascii="Arial" w:hAnsi="Arial" w:cs="Arial"/>
                <w:bCs/>
                <w:sz w:val="22"/>
                <w:szCs w:val="22"/>
              </w:rPr>
              <w:t>This presentation will share key insights from our work, highlighting successes, challenges, and opportunities to embed Indigenous leadership, action, and knowledge systems within, across, and beyond existing climate policy frameworks.</w:t>
            </w:r>
          </w:p>
          <w:p w14:paraId="5FA3BE1D" w14:textId="77777777" w:rsidR="00A64AA3" w:rsidRPr="00A64AA3" w:rsidRDefault="00A64AA3" w:rsidP="00A64AA3">
            <w:pPr>
              <w:pStyle w:val="NormalWeb"/>
              <w:rPr>
                <w:rFonts w:ascii="Arial" w:hAnsi="Arial" w:cs="Arial"/>
                <w:bCs/>
                <w:sz w:val="22"/>
                <w:szCs w:val="22"/>
              </w:rPr>
            </w:pPr>
            <w:r w:rsidRPr="00A64AA3">
              <w:rPr>
                <w:rStyle w:val="Strong"/>
                <w:rFonts w:ascii="Arial" w:hAnsi="Arial" w:cs="Arial"/>
                <w:bCs w:val="0"/>
                <w:sz w:val="22"/>
                <w:szCs w:val="22"/>
              </w:rPr>
              <w:t>Objectives</w:t>
            </w:r>
          </w:p>
          <w:p w14:paraId="27C15692" w14:textId="77777777" w:rsidR="00A64AA3" w:rsidRPr="00A64AA3" w:rsidRDefault="00A64AA3" w:rsidP="00A64AA3">
            <w:pPr>
              <w:numPr>
                <w:ilvl w:val="0"/>
                <w:numId w:val="3"/>
              </w:numPr>
              <w:spacing w:before="100" w:beforeAutospacing="1" w:after="100" w:afterAutospacing="1"/>
              <w:rPr>
                <w:rFonts w:ascii="Arial" w:hAnsi="Arial" w:cs="Arial"/>
                <w:bCs/>
                <w:sz w:val="22"/>
                <w:szCs w:val="22"/>
              </w:rPr>
            </w:pPr>
            <w:r w:rsidRPr="00A64AA3">
              <w:rPr>
                <w:rFonts w:ascii="Arial" w:hAnsi="Arial" w:cs="Arial"/>
                <w:bCs/>
                <w:sz w:val="22"/>
                <w:szCs w:val="22"/>
              </w:rPr>
              <w:t xml:space="preserve">Examine the role of </w:t>
            </w:r>
            <w:proofErr w:type="spellStart"/>
            <w:r w:rsidRPr="00A64AA3">
              <w:rPr>
                <w:rFonts w:ascii="Arial" w:hAnsi="Arial" w:cs="Arial"/>
                <w:bCs/>
                <w:sz w:val="22"/>
                <w:szCs w:val="22"/>
              </w:rPr>
              <w:t>mātauranga</w:t>
            </w:r>
            <w:proofErr w:type="spellEnd"/>
            <w:r w:rsidRPr="00A64AA3">
              <w:rPr>
                <w:rFonts w:ascii="Arial" w:hAnsi="Arial" w:cs="Arial"/>
                <w:bCs/>
                <w:sz w:val="22"/>
                <w:szCs w:val="22"/>
              </w:rPr>
              <w:t>-a-iwi in shaping climate adaptation planning, policy, and action, with a focus on water management, land use, and disaster resilience.</w:t>
            </w:r>
          </w:p>
          <w:p w14:paraId="3F22F86E" w14:textId="77777777" w:rsidR="00A64AA3" w:rsidRPr="00A64AA3" w:rsidRDefault="00A64AA3" w:rsidP="00A64AA3">
            <w:pPr>
              <w:numPr>
                <w:ilvl w:val="0"/>
                <w:numId w:val="3"/>
              </w:numPr>
              <w:spacing w:before="100" w:beforeAutospacing="1" w:after="100" w:afterAutospacing="1"/>
              <w:rPr>
                <w:rFonts w:ascii="Arial" w:hAnsi="Arial" w:cs="Arial"/>
                <w:bCs/>
                <w:sz w:val="22"/>
                <w:szCs w:val="22"/>
              </w:rPr>
            </w:pPr>
            <w:r w:rsidRPr="00A64AA3">
              <w:rPr>
                <w:rFonts w:ascii="Arial" w:hAnsi="Arial" w:cs="Arial"/>
                <w:bCs/>
                <w:sz w:val="22"/>
                <w:szCs w:val="22"/>
              </w:rPr>
              <w:t>Identify and analyze policy and structural barriers that limit Māori-led climate action and adaptation efforts.</w:t>
            </w:r>
          </w:p>
          <w:p w14:paraId="3BA16230" w14:textId="77777777" w:rsidR="00A64AA3" w:rsidRPr="00A64AA3" w:rsidRDefault="00A64AA3" w:rsidP="00A64AA3">
            <w:pPr>
              <w:numPr>
                <w:ilvl w:val="0"/>
                <w:numId w:val="3"/>
              </w:numPr>
              <w:spacing w:before="100" w:beforeAutospacing="1" w:after="100" w:afterAutospacing="1"/>
              <w:rPr>
                <w:rFonts w:ascii="Arial" w:hAnsi="Arial" w:cs="Arial"/>
                <w:bCs/>
                <w:sz w:val="22"/>
                <w:szCs w:val="22"/>
              </w:rPr>
            </w:pPr>
            <w:r w:rsidRPr="00A64AA3">
              <w:rPr>
                <w:rFonts w:ascii="Arial" w:hAnsi="Arial" w:cs="Arial"/>
                <w:bCs/>
                <w:sz w:val="22"/>
                <w:szCs w:val="22"/>
              </w:rPr>
              <w:t>Explore how marae are evolving into climate resilience hubs, providing critical support for emergency responses and long-term adaptation planning.</w:t>
            </w:r>
          </w:p>
          <w:p w14:paraId="39409731" w14:textId="77777777" w:rsidR="00A64AA3" w:rsidRPr="00A64AA3" w:rsidRDefault="00A64AA3" w:rsidP="00A64AA3">
            <w:pPr>
              <w:numPr>
                <w:ilvl w:val="0"/>
                <w:numId w:val="3"/>
              </w:numPr>
              <w:spacing w:before="100" w:beforeAutospacing="1" w:after="100" w:afterAutospacing="1"/>
              <w:rPr>
                <w:rFonts w:ascii="Arial" w:hAnsi="Arial" w:cs="Arial"/>
                <w:bCs/>
                <w:sz w:val="22"/>
                <w:szCs w:val="22"/>
              </w:rPr>
            </w:pPr>
            <w:r w:rsidRPr="00A64AA3">
              <w:rPr>
                <w:rFonts w:ascii="Arial" w:hAnsi="Arial" w:cs="Arial"/>
                <w:bCs/>
                <w:sz w:val="22"/>
                <w:szCs w:val="22"/>
              </w:rPr>
              <w:t>Highlight effective models of co-governance and partnership between iwi, local government, and national agencies to enable meaningful climate action.</w:t>
            </w:r>
          </w:p>
          <w:p w14:paraId="7DF4FEC6" w14:textId="77777777" w:rsidR="00A64AA3" w:rsidRPr="00A64AA3" w:rsidRDefault="00A64AA3" w:rsidP="00A64AA3">
            <w:pPr>
              <w:pStyle w:val="NormalWeb"/>
              <w:rPr>
                <w:rFonts w:ascii="Arial" w:hAnsi="Arial" w:cs="Arial"/>
                <w:bCs/>
                <w:sz w:val="22"/>
                <w:szCs w:val="22"/>
              </w:rPr>
            </w:pPr>
            <w:r w:rsidRPr="00A64AA3">
              <w:rPr>
                <w:rStyle w:val="Strong"/>
                <w:rFonts w:ascii="Arial" w:hAnsi="Arial" w:cs="Arial"/>
                <w:bCs w:val="0"/>
                <w:sz w:val="22"/>
                <w:szCs w:val="22"/>
              </w:rPr>
              <w:t>Methodology</w:t>
            </w:r>
          </w:p>
          <w:p w14:paraId="3ADEF92D" w14:textId="77777777" w:rsidR="00A64AA3" w:rsidRPr="00A64AA3" w:rsidRDefault="00A64AA3" w:rsidP="00A64AA3">
            <w:pPr>
              <w:pStyle w:val="NormalWeb"/>
              <w:rPr>
                <w:rFonts w:ascii="Arial" w:hAnsi="Arial" w:cs="Arial"/>
                <w:bCs/>
                <w:sz w:val="22"/>
                <w:szCs w:val="22"/>
              </w:rPr>
            </w:pPr>
            <w:r w:rsidRPr="00A64AA3">
              <w:rPr>
                <w:rFonts w:ascii="Arial" w:hAnsi="Arial" w:cs="Arial"/>
                <w:bCs/>
                <w:sz w:val="22"/>
                <w:szCs w:val="22"/>
              </w:rPr>
              <w:t xml:space="preserve">Our research is grounded in </w:t>
            </w:r>
            <w:proofErr w:type="spellStart"/>
            <w:r w:rsidRPr="00A64AA3">
              <w:rPr>
                <w:rFonts w:ascii="Arial" w:hAnsi="Arial" w:cs="Arial"/>
                <w:bCs/>
                <w:sz w:val="22"/>
                <w:szCs w:val="22"/>
              </w:rPr>
              <w:t>kaupapa</w:t>
            </w:r>
            <w:proofErr w:type="spellEnd"/>
            <w:r w:rsidRPr="00A64AA3">
              <w:rPr>
                <w:rFonts w:ascii="Arial" w:hAnsi="Arial" w:cs="Arial"/>
                <w:bCs/>
                <w:sz w:val="22"/>
                <w:szCs w:val="22"/>
              </w:rPr>
              <w:t xml:space="preserve"> Māori methodologies, ensuring that Māori perspectives guide both the research process and the solutions developed. This includes:</w:t>
            </w:r>
          </w:p>
          <w:p w14:paraId="170A07F2" w14:textId="77777777" w:rsidR="00A64AA3" w:rsidRPr="00A64AA3" w:rsidRDefault="00A64AA3" w:rsidP="00A64AA3">
            <w:pPr>
              <w:numPr>
                <w:ilvl w:val="0"/>
                <w:numId w:val="4"/>
              </w:numPr>
              <w:spacing w:before="100" w:beforeAutospacing="1" w:after="100" w:afterAutospacing="1"/>
              <w:rPr>
                <w:rFonts w:ascii="Arial" w:hAnsi="Arial" w:cs="Arial"/>
                <w:bCs/>
                <w:sz w:val="22"/>
                <w:szCs w:val="22"/>
              </w:rPr>
            </w:pPr>
            <w:r w:rsidRPr="00A64AA3">
              <w:rPr>
                <w:rStyle w:val="Strong"/>
                <w:rFonts w:ascii="Arial" w:hAnsi="Arial" w:cs="Arial"/>
                <w:b w:val="0"/>
                <w:sz w:val="22"/>
                <w:szCs w:val="22"/>
              </w:rPr>
              <w:t>Community-Led Engagement:</w:t>
            </w:r>
            <w:r w:rsidRPr="00A64AA3">
              <w:rPr>
                <w:rFonts w:ascii="Arial" w:hAnsi="Arial" w:cs="Arial"/>
                <w:bCs/>
                <w:sz w:val="22"/>
                <w:szCs w:val="22"/>
              </w:rPr>
              <w:t xml:space="preserve"> Direct consultation with iwi, hapū, and marae to identify climate risks, adaptation priorities, and practical solutions.</w:t>
            </w:r>
          </w:p>
          <w:p w14:paraId="76DF8529" w14:textId="77777777" w:rsidR="00A64AA3" w:rsidRPr="00A64AA3" w:rsidRDefault="00A64AA3" w:rsidP="00A64AA3">
            <w:pPr>
              <w:numPr>
                <w:ilvl w:val="0"/>
                <w:numId w:val="4"/>
              </w:numPr>
              <w:spacing w:before="100" w:beforeAutospacing="1" w:after="100" w:afterAutospacing="1"/>
              <w:rPr>
                <w:rFonts w:ascii="Arial" w:hAnsi="Arial" w:cs="Arial"/>
                <w:bCs/>
                <w:sz w:val="22"/>
                <w:szCs w:val="22"/>
              </w:rPr>
            </w:pPr>
            <w:r w:rsidRPr="00A64AA3">
              <w:rPr>
                <w:rStyle w:val="Strong"/>
                <w:rFonts w:ascii="Arial" w:hAnsi="Arial" w:cs="Arial"/>
                <w:b w:val="0"/>
                <w:sz w:val="22"/>
                <w:szCs w:val="22"/>
              </w:rPr>
              <w:t>Case Study Analysis:</w:t>
            </w:r>
            <w:r w:rsidRPr="00A64AA3">
              <w:rPr>
                <w:rFonts w:ascii="Arial" w:hAnsi="Arial" w:cs="Arial"/>
                <w:bCs/>
                <w:sz w:val="22"/>
                <w:szCs w:val="22"/>
              </w:rPr>
              <w:t xml:space="preserve"> In-depth examination of Māori-led climate adaptation initiatives, including our </w:t>
            </w:r>
            <w:proofErr w:type="spellStart"/>
            <w:r w:rsidRPr="00A64AA3">
              <w:rPr>
                <w:rFonts w:ascii="Arial" w:hAnsi="Arial" w:cs="Arial"/>
                <w:bCs/>
                <w:sz w:val="22"/>
                <w:szCs w:val="22"/>
              </w:rPr>
              <w:t>stocktake</w:t>
            </w:r>
            <w:proofErr w:type="spellEnd"/>
            <w:r w:rsidRPr="00A64AA3">
              <w:rPr>
                <w:rFonts w:ascii="Arial" w:hAnsi="Arial" w:cs="Arial"/>
                <w:bCs/>
                <w:sz w:val="22"/>
                <w:szCs w:val="22"/>
              </w:rPr>
              <w:t xml:space="preserve"> of marae across Māori electorate regions.</w:t>
            </w:r>
          </w:p>
          <w:p w14:paraId="78046336" w14:textId="77777777" w:rsidR="00A64AA3" w:rsidRPr="00A64AA3" w:rsidRDefault="00A64AA3" w:rsidP="00A64AA3">
            <w:pPr>
              <w:numPr>
                <w:ilvl w:val="0"/>
                <w:numId w:val="4"/>
              </w:numPr>
              <w:spacing w:before="100" w:beforeAutospacing="1" w:after="100" w:afterAutospacing="1"/>
              <w:rPr>
                <w:rFonts w:ascii="Arial" w:hAnsi="Arial" w:cs="Arial"/>
                <w:bCs/>
                <w:sz w:val="22"/>
                <w:szCs w:val="22"/>
              </w:rPr>
            </w:pPr>
            <w:r w:rsidRPr="00A64AA3">
              <w:rPr>
                <w:rStyle w:val="Strong"/>
                <w:rFonts w:ascii="Arial" w:hAnsi="Arial" w:cs="Arial"/>
                <w:b w:val="0"/>
                <w:sz w:val="22"/>
                <w:szCs w:val="22"/>
              </w:rPr>
              <w:t>Policy and Legislative Review:</w:t>
            </w:r>
            <w:r w:rsidRPr="00A64AA3">
              <w:rPr>
                <w:rFonts w:ascii="Arial" w:hAnsi="Arial" w:cs="Arial"/>
                <w:bCs/>
                <w:sz w:val="22"/>
                <w:szCs w:val="22"/>
              </w:rPr>
              <w:t xml:space="preserve"> Analysis of climate policies, funding structures, and governance models to assess their alignment with iwi aspirations.</w:t>
            </w:r>
          </w:p>
          <w:p w14:paraId="5B5F0F6B" w14:textId="77777777" w:rsidR="00A64AA3" w:rsidRPr="00A64AA3" w:rsidRDefault="00A64AA3" w:rsidP="00A64AA3">
            <w:pPr>
              <w:numPr>
                <w:ilvl w:val="0"/>
                <w:numId w:val="4"/>
              </w:numPr>
              <w:spacing w:before="100" w:beforeAutospacing="1" w:after="100" w:afterAutospacing="1"/>
              <w:rPr>
                <w:rFonts w:ascii="Arial" w:hAnsi="Arial" w:cs="Arial"/>
                <w:bCs/>
                <w:sz w:val="22"/>
                <w:szCs w:val="22"/>
              </w:rPr>
            </w:pPr>
            <w:r w:rsidRPr="00A64AA3">
              <w:rPr>
                <w:rStyle w:val="Strong"/>
                <w:rFonts w:ascii="Arial" w:hAnsi="Arial" w:cs="Arial"/>
                <w:b w:val="0"/>
                <w:sz w:val="22"/>
                <w:szCs w:val="22"/>
              </w:rPr>
              <w:lastRenderedPageBreak/>
              <w:t>Whakapapa-Based Knowledge Systems:</w:t>
            </w:r>
            <w:r w:rsidRPr="00A64AA3">
              <w:rPr>
                <w:rFonts w:ascii="Arial" w:hAnsi="Arial" w:cs="Arial"/>
                <w:bCs/>
                <w:sz w:val="22"/>
                <w:szCs w:val="22"/>
              </w:rPr>
              <w:t xml:space="preserve"> Integration of intergenerational knowledge on environmental cycles and adaptation practices.</w:t>
            </w:r>
          </w:p>
          <w:p w14:paraId="68DF5F00" w14:textId="77777777" w:rsidR="00A64AA3" w:rsidRPr="00A64AA3" w:rsidRDefault="00A64AA3" w:rsidP="00A64AA3">
            <w:pPr>
              <w:numPr>
                <w:ilvl w:val="0"/>
                <w:numId w:val="4"/>
              </w:numPr>
              <w:spacing w:before="100" w:beforeAutospacing="1" w:after="100" w:afterAutospacing="1"/>
              <w:rPr>
                <w:rFonts w:ascii="Arial" w:hAnsi="Arial" w:cs="Arial"/>
                <w:bCs/>
                <w:sz w:val="22"/>
                <w:szCs w:val="22"/>
              </w:rPr>
            </w:pPr>
            <w:r w:rsidRPr="00A64AA3">
              <w:rPr>
                <w:rStyle w:val="Strong"/>
                <w:rFonts w:ascii="Arial" w:hAnsi="Arial" w:cs="Arial"/>
                <w:b w:val="0"/>
                <w:sz w:val="22"/>
                <w:szCs w:val="22"/>
              </w:rPr>
              <w:t>Collaborative Partnerships:</w:t>
            </w:r>
            <w:r w:rsidRPr="00A64AA3">
              <w:rPr>
                <w:rFonts w:ascii="Arial" w:hAnsi="Arial" w:cs="Arial"/>
                <w:bCs/>
                <w:sz w:val="22"/>
                <w:szCs w:val="22"/>
              </w:rPr>
              <w:t xml:space="preserve"> Working alongside Crown agencies, local government, and academic institutions to develop community-led solutions.</w:t>
            </w:r>
          </w:p>
          <w:p w14:paraId="7A5B8136" w14:textId="77777777" w:rsidR="00A64AA3" w:rsidRPr="00A64AA3" w:rsidRDefault="00A64AA3" w:rsidP="00A64AA3">
            <w:pPr>
              <w:pStyle w:val="NormalWeb"/>
              <w:rPr>
                <w:rFonts w:ascii="Arial" w:hAnsi="Arial" w:cs="Arial"/>
                <w:bCs/>
                <w:sz w:val="22"/>
                <w:szCs w:val="22"/>
              </w:rPr>
            </w:pPr>
            <w:r w:rsidRPr="00A64AA3">
              <w:rPr>
                <w:rStyle w:val="Strong"/>
                <w:rFonts w:ascii="Arial" w:hAnsi="Arial" w:cs="Arial"/>
                <w:bCs w:val="0"/>
                <w:sz w:val="22"/>
                <w:szCs w:val="22"/>
              </w:rPr>
              <w:t>Findings</w:t>
            </w:r>
          </w:p>
          <w:p w14:paraId="2378F14D" w14:textId="77777777" w:rsidR="00A64AA3" w:rsidRPr="00A64AA3" w:rsidRDefault="00A64AA3" w:rsidP="00A64AA3">
            <w:pPr>
              <w:numPr>
                <w:ilvl w:val="0"/>
                <w:numId w:val="5"/>
              </w:numPr>
              <w:spacing w:before="100" w:beforeAutospacing="1" w:after="100" w:afterAutospacing="1"/>
              <w:rPr>
                <w:rFonts w:ascii="Arial" w:hAnsi="Arial" w:cs="Arial"/>
                <w:bCs/>
                <w:sz w:val="22"/>
                <w:szCs w:val="22"/>
              </w:rPr>
            </w:pPr>
            <w:proofErr w:type="spellStart"/>
            <w:r w:rsidRPr="00A64AA3">
              <w:rPr>
                <w:rStyle w:val="Strong"/>
                <w:rFonts w:ascii="Arial" w:hAnsi="Arial" w:cs="Arial"/>
                <w:b w:val="0"/>
                <w:sz w:val="22"/>
                <w:szCs w:val="22"/>
              </w:rPr>
              <w:t>Mātauranga</w:t>
            </w:r>
            <w:proofErr w:type="spellEnd"/>
            <w:r w:rsidRPr="00A64AA3">
              <w:rPr>
                <w:rStyle w:val="Strong"/>
                <w:rFonts w:ascii="Arial" w:hAnsi="Arial" w:cs="Arial"/>
                <w:b w:val="0"/>
                <w:sz w:val="22"/>
                <w:szCs w:val="22"/>
              </w:rPr>
              <w:t>-a-iwi in Adaptation:</w:t>
            </w:r>
            <w:r w:rsidRPr="00A64AA3">
              <w:rPr>
                <w:rFonts w:ascii="Arial" w:hAnsi="Arial" w:cs="Arial"/>
                <w:bCs/>
                <w:sz w:val="22"/>
                <w:szCs w:val="22"/>
              </w:rPr>
              <w:t xml:space="preserve"> Indigenous knowledge offers deep insights into localized adaptation solutions, particularly in water sovereignty (iwi-led water management), coastal adaptation (traditional land-use approaches), and disaster response (marae-centered emergency planning).</w:t>
            </w:r>
          </w:p>
          <w:p w14:paraId="71CDD409" w14:textId="77777777" w:rsidR="00A64AA3" w:rsidRPr="00A64AA3" w:rsidRDefault="00A64AA3" w:rsidP="00A64AA3">
            <w:pPr>
              <w:numPr>
                <w:ilvl w:val="0"/>
                <w:numId w:val="5"/>
              </w:numPr>
              <w:spacing w:before="100" w:beforeAutospacing="1" w:after="100" w:afterAutospacing="1"/>
              <w:rPr>
                <w:rFonts w:ascii="Arial" w:hAnsi="Arial" w:cs="Arial"/>
                <w:bCs/>
                <w:sz w:val="22"/>
                <w:szCs w:val="22"/>
              </w:rPr>
            </w:pPr>
            <w:r w:rsidRPr="00A64AA3">
              <w:rPr>
                <w:rStyle w:val="Strong"/>
                <w:rFonts w:ascii="Arial" w:hAnsi="Arial" w:cs="Arial"/>
                <w:b w:val="0"/>
                <w:sz w:val="22"/>
                <w:szCs w:val="22"/>
              </w:rPr>
              <w:t>Policy and Structural Barriers:</w:t>
            </w:r>
            <w:r w:rsidRPr="00A64AA3">
              <w:rPr>
                <w:rFonts w:ascii="Arial" w:hAnsi="Arial" w:cs="Arial"/>
                <w:bCs/>
                <w:sz w:val="22"/>
                <w:szCs w:val="22"/>
              </w:rPr>
              <w:t xml:space="preserve"> Systemic challenges, including funding constraints and regulatory barriers, limit iwi-led adaptation efforts despite Te </w:t>
            </w:r>
            <w:proofErr w:type="spellStart"/>
            <w:r w:rsidRPr="00A64AA3">
              <w:rPr>
                <w:rFonts w:ascii="Arial" w:hAnsi="Arial" w:cs="Arial"/>
                <w:bCs/>
                <w:sz w:val="22"/>
                <w:szCs w:val="22"/>
              </w:rPr>
              <w:t>Tiriti</w:t>
            </w:r>
            <w:proofErr w:type="spellEnd"/>
            <w:r w:rsidRPr="00A64AA3">
              <w:rPr>
                <w:rFonts w:ascii="Arial" w:hAnsi="Arial" w:cs="Arial"/>
                <w:bCs/>
                <w:sz w:val="22"/>
                <w:szCs w:val="22"/>
              </w:rPr>
              <w:t xml:space="preserve"> o Waitangi commitments.</w:t>
            </w:r>
          </w:p>
          <w:p w14:paraId="004C5EE6" w14:textId="77777777" w:rsidR="00A64AA3" w:rsidRPr="00A64AA3" w:rsidRDefault="00A64AA3" w:rsidP="00A64AA3">
            <w:pPr>
              <w:numPr>
                <w:ilvl w:val="0"/>
                <w:numId w:val="5"/>
              </w:numPr>
              <w:spacing w:before="100" w:beforeAutospacing="1" w:after="100" w:afterAutospacing="1"/>
              <w:rPr>
                <w:rFonts w:ascii="Arial" w:hAnsi="Arial" w:cs="Arial"/>
                <w:bCs/>
                <w:sz w:val="22"/>
                <w:szCs w:val="22"/>
              </w:rPr>
            </w:pPr>
            <w:r w:rsidRPr="00A64AA3">
              <w:rPr>
                <w:rStyle w:val="Strong"/>
                <w:rFonts w:ascii="Arial" w:hAnsi="Arial" w:cs="Arial"/>
                <w:b w:val="0"/>
                <w:sz w:val="22"/>
                <w:szCs w:val="22"/>
              </w:rPr>
              <w:t>Marae as Climate Resilience Hubs:</w:t>
            </w:r>
            <w:r w:rsidRPr="00A64AA3">
              <w:rPr>
                <w:rFonts w:ascii="Arial" w:hAnsi="Arial" w:cs="Arial"/>
                <w:bCs/>
                <w:sz w:val="22"/>
                <w:szCs w:val="22"/>
              </w:rPr>
              <w:t xml:space="preserve"> Marae play a frontline role in disaster response, serving as evacuation centers and food distribution hubs. Some </w:t>
            </w:r>
            <w:proofErr w:type="gramStart"/>
            <w:r w:rsidRPr="00A64AA3">
              <w:rPr>
                <w:rFonts w:ascii="Arial" w:hAnsi="Arial" w:cs="Arial"/>
                <w:bCs/>
                <w:sz w:val="22"/>
                <w:szCs w:val="22"/>
              </w:rPr>
              <w:t>marae</w:t>
            </w:r>
            <w:proofErr w:type="gramEnd"/>
            <w:r w:rsidRPr="00A64AA3">
              <w:rPr>
                <w:rFonts w:ascii="Arial" w:hAnsi="Arial" w:cs="Arial"/>
                <w:bCs/>
                <w:sz w:val="22"/>
                <w:szCs w:val="22"/>
              </w:rPr>
              <w:t xml:space="preserve"> are also developing long-term relocation strategies and climate-proofing infrastructure.</w:t>
            </w:r>
          </w:p>
          <w:p w14:paraId="0CE15A53" w14:textId="77777777" w:rsidR="00A64AA3" w:rsidRPr="00A64AA3" w:rsidRDefault="00A64AA3" w:rsidP="00A64AA3">
            <w:pPr>
              <w:numPr>
                <w:ilvl w:val="0"/>
                <w:numId w:val="5"/>
              </w:numPr>
              <w:spacing w:before="100" w:beforeAutospacing="1" w:after="100" w:afterAutospacing="1"/>
              <w:rPr>
                <w:rFonts w:ascii="Arial" w:hAnsi="Arial" w:cs="Arial"/>
                <w:bCs/>
                <w:sz w:val="22"/>
                <w:szCs w:val="22"/>
              </w:rPr>
            </w:pPr>
            <w:r w:rsidRPr="00A64AA3">
              <w:rPr>
                <w:rStyle w:val="Strong"/>
                <w:rFonts w:ascii="Arial" w:hAnsi="Arial" w:cs="Arial"/>
                <w:b w:val="0"/>
                <w:sz w:val="22"/>
                <w:szCs w:val="22"/>
              </w:rPr>
              <w:t>Effective Co-Governance and Partnerships:</w:t>
            </w:r>
            <w:r w:rsidRPr="00A64AA3">
              <w:rPr>
                <w:rFonts w:ascii="Arial" w:hAnsi="Arial" w:cs="Arial"/>
                <w:bCs/>
                <w:sz w:val="22"/>
                <w:szCs w:val="22"/>
              </w:rPr>
              <w:t xml:space="preserve"> Where iwi lead climate initiatives, successful co-governance models have emerged, enabling regional adaptation planning and the integration of </w:t>
            </w:r>
            <w:proofErr w:type="spellStart"/>
            <w:r w:rsidRPr="00A64AA3">
              <w:rPr>
                <w:rFonts w:ascii="Arial" w:hAnsi="Arial" w:cs="Arial"/>
                <w:bCs/>
                <w:sz w:val="22"/>
                <w:szCs w:val="22"/>
              </w:rPr>
              <w:t>mātauranga</w:t>
            </w:r>
            <w:proofErr w:type="spellEnd"/>
            <w:r w:rsidRPr="00A64AA3">
              <w:rPr>
                <w:rFonts w:ascii="Arial" w:hAnsi="Arial" w:cs="Arial"/>
                <w:bCs/>
                <w:sz w:val="22"/>
                <w:szCs w:val="22"/>
              </w:rPr>
              <w:t>-a-iwi into climate science and policy.</w:t>
            </w:r>
          </w:p>
          <w:p w14:paraId="3C52E18B" w14:textId="77777777" w:rsidR="00A64AA3" w:rsidRPr="00A64AA3" w:rsidRDefault="00A64AA3" w:rsidP="00A64AA3">
            <w:pPr>
              <w:pStyle w:val="NormalWeb"/>
              <w:rPr>
                <w:rFonts w:ascii="Arial" w:hAnsi="Arial" w:cs="Arial"/>
                <w:bCs/>
                <w:sz w:val="22"/>
                <w:szCs w:val="22"/>
              </w:rPr>
            </w:pPr>
            <w:r w:rsidRPr="00A64AA3">
              <w:rPr>
                <w:rFonts w:ascii="Arial" w:hAnsi="Arial" w:cs="Arial"/>
                <w:bCs/>
                <w:sz w:val="22"/>
                <w:szCs w:val="22"/>
              </w:rPr>
              <w:t>By presenting these insights at Adaptation Futures 2025, we aim to contribute to global Indigenous adaptation dialogues, advocate for just and effective climate policies, and reinforce the role of Māori as leaders in shaping climate-resilient futures.</w:t>
            </w:r>
          </w:p>
          <w:p w14:paraId="14FFCEA6" w14:textId="4BBA1F62" w:rsidR="004158CB" w:rsidRPr="00A64AA3" w:rsidRDefault="004158CB" w:rsidP="00A64AA3">
            <w:pPr>
              <w:jc w:val="both"/>
              <w:rPr>
                <w:rFonts w:ascii="Arial" w:eastAsia="Arial" w:hAnsi="Arial" w:cs="Arial"/>
                <w:bCs/>
                <w:sz w:val="22"/>
                <w:szCs w:val="22"/>
              </w:rPr>
            </w:pPr>
          </w:p>
        </w:tc>
      </w:tr>
    </w:tbl>
    <w:p w14:paraId="15CE4C9D" w14:textId="77777777" w:rsidR="004158CB" w:rsidRPr="00A64AA3" w:rsidRDefault="004158CB">
      <w:pPr>
        <w:tabs>
          <w:tab w:val="left" w:pos="8931"/>
        </w:tabs>
        <w:rPr>
          <w:rFonts w:ascii="Arial" w:eastAsia="Arial" w:hAnsi="Arial" w:cs="Arial"/>
          <w:bCs/>
          <w:sz w:val="22"/>
          <w:szCs w:val="22"/>
        </w:rPr>
      </w:pPr>
    </w:p>
    <w:p w14:paraId="265DF29C" w14:textId="77777777" w:rsidR="004158CB" w:rsidRPr="00A64AA3" w:rsidRDefault="004158CB">
      <w:pPr>
        <w:rPr>
          <w:rFonts w:ascii="Arial" w:eastAsia="Arial" w:hAnsi="Arial" w:cs="Arial"/>
          <w:bCs/>
          <w:sz w:val="22"/>
          <w:szCs w:val="22"/>
        </w:rPr>
      </w:pPr>
    </w:p>
    <w:sectPr w:rsidR="004158CB" w:rsidRPr="00A64AA3">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291"/>
    <w:multiLevelType w:val="multilevel"/>
    <w:tmpl w:val="9CA4B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171E44"/>
    <w:multiLevelType w:val="multilevel"/>
    <w:tmpl w:val="BCE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021C9"/>
    <w:multiLevelType w:val="multilevel"/>
    <w:tmpl w:val="9F4A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B78F5"/>
    <w:multiLevelType w:val="multilevel"/>
    <w:tmpl w:val="561A7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EF798F"/>
    <w:multiLevelType w:val="multilevel"/>
    <w:tmpl w:val="8EF0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63183">
    <w:abstractNumId w:val="3"/>
  </w:num>
  <w:num w:numId="2" w16cid:durableId="1740904913">
    <w:abstractNumId w:val="0"/>
  </w:num>
  <w:num w:numId="3" w16cid:durableId="1566333739">
    <w:abstractNumId w:val="1"/>
  </w:num>
  <w:num w:numId="4" w16cid:durableId="1222670419">
    <w:abstractNumId w:val="4"/>
  </w:num>
  <w:num w:numId="5" w16cid:durableId="2012026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CB"/>
    <w:rsid w:val="004158CB"/>
    <w:rsid w:val="00A64AA3"/>
    <w:rsid w:val="00BB1AF7"/>
    <w:rsid w:val="00D057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CDBA"/>
  <w15:docId w15:val="{59F7D3E1-215E-A943-AA8E-C64AB493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paragraph" w:styleId="NormalWeb">
    <w:name w:val="Normal (Web)"/>
    <w:basedOn w:val="Normal"/>
    <w:uiPriority w:val="99"/>
    <w:semiHidden/>
    <w:unhideWhenUsed/>
    <w:rsid w:val="00A64AA3"/>
    <w:pPr>
      <w:spacing w:before="100" w:beforeAutospacing="1" w:after="100" w:afterAutospacing="1"/>
    </w:pPr>
    <w:rPr>
      <w:rFonts w:ascii="Times New Roman" w:eastAsia="Times New Roman" w:hAnsi="Times New Roman" w:cs="Times New Roman"/>
      <w:lang w:val="en-NZ"/>
    </w:rPr>
  </w:style>
  <w:style w:type="character" w:styleId="Strong">
    <w:name w:val="Strong"/>
    <w:basedOn w:val="DefaultParagraphFont"/>
    <w:uiPriority w:val="22"/>
    <w:qFormat/>
    <w:rsid w:val="00A64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16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sdpwdCwPcMcbc1tFykIHKcng==">CgMxLjA4AHIhMUo4M2hKd1ZhRUdCd1dMblBDNWZsZUJSZmF6ZWxZdzl6</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91C5EF-DF32-4AAA-B46D-9CF082AB82AA}">
  <ds:schemaRefs>
    <ds:schemaRef ds:uri="http://www.w3.org/XML/1998/namespace"/>
    <ds:schemaRef ds:uri="6911e96c-4cc4-42d5-8e43-f93924cf6a05"/>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ab52c9b-ab33-4221-8af9-54f8f2b86a80"/>
    <ds:schemaRef ds:uri="9c8a2b7b-0bee-4c48-b0a6-23db8982d3bc"/>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04FC8D8-A886-47F4-B1A2-578B503E2A0E}">
  <ds:schemaRefs>
    <ds:schemaRef ds:uri="http://schemas.microsoft.com/sharepoint/v3/contenttype/forms"/>
  </ds:schemaRefs>
</ds:datastoreItem>
</file>

<file path=customXml/itemProps4.xml><?xml version="1.0" encoding="utf-8"?>
<ds:datastoreItem xmlns:ds="http://schemas.openxmlformats.org/officeDocument/2006/customXml" ds:itemID="{881318AB-C92A-49A8-823A-78828FEC0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Syuan Huang, Dr</dc:creator>
  <cp:lastModifiedBy>Bethany Yee</cp:lastModifiedBy>
  <cp:revision>3</cp:revision>
  <dcterms:created xsi:type="dcterms:W3CDTF">2024-09-16T20:56:00Z</dcterms:created>
  <dcterms:modified xsi:type="dcterms:W3CDTF">2025-08-12T21:25:00Z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