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2"/>
      </w:tblGrid>
      <w:tr w:rsidR="001564A4" w:rsidRPr="00A10948" w14:paraId="5C38377B" w14:textId="77777777" w:rsidTr="005B49A1">
        <w:trPr>
          <w:trHeight w:val="557"/>
          <w:jc w:val="center"/>
        </w:trPr>
        <w:tc>
          <w:tcPr>
            <w:tcW w:w="9652" w:type="dxa"/>
            <w:shd w:val="clear" w:color="auto" w:fill="auto"/>
          </w:tcPr>
          <w:p w14:paraId="5C44F357" w14:textId="0D695C2D" w:rsidR="0032500F" w:rsidRPr="00A10948" w:rsidRDefault="00EC13DE" w:rsidP="00A1094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BC77A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Use of </w:t>
            </w:r>
            <w:r w:rsidR="0032500F" w:rsidRPr="00BC77A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FEV1% predicted </w:t>
            </w:r>
            <w:r w:rsidR="0032500F" w:rsidRPr="00A1094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to guide further testing for lung volume reduction </w:t>
            </w:r>
          </w:p>
        </w:tc>
      </w:tr>
      <w:tr w:rsidR="001564A4" w:rsidRPr="00A10948" w14:paraId="0E2E035C" w14:textId="77777777" w:rsidTr="005B49A1">
        <w:trPr>
          <w:trHeight w:val="565"/>
          <w:jc w:val="center"/>
        </w:trPr>
        <w:tc>
          <w:tcPr>
            <w:tcW w:w="9652" w:type="dxa"/>
            <w:shd w:val="clear" w:color="auto" w:fill="auto"/>
          </w:tcPr>
          <w:p w14:paraId="73B55295" w14:textId="76BACDC0" w:rsidR="001564A4" w:rsidRPr="00A10948" w:rsidRDefault="00455A5A" w:rsidP="00A10948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A10948">
              <w:rPr>
                <w:rFonts w:ascii="Arial" w:hAnsi="Arial" w:cs="Arial"/>
                <w:sz w:val="22"/>
                <w:szCs w:val="22"/>
                <w:lang w:val="en-US" w:eastAsia="en-GB"/>
              </w:rPr>
              <w:t>Esther Sim</w:t>
            </w:r>
            <w:r w:rsidR="001564A4" w:rsidRPr="00A1094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A10948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A1094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Kim Bennetts</w:t>
            </w:r>
            <w:proofErr w:type="gramStart"/>
            <w:r w:rsidRPr="00A1094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A10948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A10948">
              <w:rPr>
                <w:rFonts w:ascii="Arial" w:hAnsi="Arial" w:cs="Arial"/>
                <w:sz w:val="22"/>
                <w:szCs w:val="22"/>
                <w:lang w:val="en-US" w:eastAsia="en-GB"/>
              </w:rPr>
              <w:t>David</w:t>
            </w:r>
            <w:proofErr w:type="gramEnd"/>
            <w:r w:rsidRPr="00A1094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Langton</w:t>
            </w:r>
            <w:r w:rsidRPr="00A1094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A10948" w14:paraId="385A19D9" w14:textId="77777777" w:rsidTr="000D7DF2">
        <w:trPr>
          <w:trHeight w:val="268"/>
          <w:jc w:val="center"/>
        </w:trPr>
        <w:tc>
          <w:tcPr>
            <w:tcW w:w="9652" w:type="dxa"/>
            <w:shd w:val="clear" w:color="auto" w:fill="auto"/>
          </w:tcPr>
          <w:p w14:paraId="45ED36BF" w14:textId="0A1293E1" w:rsidR="001564A4" w:rsidRPr="00A10948" w:rsidRDefault="001564A4" w:rsidP="00A1094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1094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C13D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Thoracic Medicine</w:t>
            </w:r>
            <w:r w:rsidR="000D7DF2" w:rsidRPr="00A1094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P</w:t>
            </w:r>
            <w:r w:rsidR="000E3CC3" w:rsidRPr="00A1094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eninsula</w:t>
            </w:r>
            <w:r w:rsidR="000D7DF2" w:rsidRPr="00A1094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Health, Victoria, Australia </w:t>
            </w:r>
          </w:p>
        </w:tc>
      </w:tr>
      <w:tr w:rsidR="001564A4" w:rsidRPr="00A10948" w14:paraId="6DAF615A" w14:textId="77777777" w:rsidTr="005B49A1">
        <w:trPr>
          <w:trHeight w:hRule="exact" w:val="12201"/>
          <w:jc w:val="center"/>
        </w:trPr>
        <w:tc>
          <w:tcPr>
            <w:tcW w:w="9652" w:type="dxa"/>
            <w:shd w:val="clear" w:color="auto" w:fill="auto"/>
          </w:tcPr>
          <w:p w14:paraId="739E7937" w14:textId="77777777" w:rsidR="001564A4" w:rsidRPr="002B17AA" w:rsidRDefault="001564A4" w:rsidP="00A10948">
            <w:pPr>
              <w:pStyle w:val="Pa12"/>
              <w:spacing w:line="240" w:lineRule="auto"/>
              <w:rPr>
                <w:rStyle w:val="A4"/>
                <w:color w:val="auto"/>
              </w:rPr>
            </w:pPr>
            <w:r w:rsidRPr="002B17AA">
              <w:rPr>
                <w:rStyle w:val="A4"/>
                <w:b/>
                <w:bCs/>
                <w:color w:val="auto"/>
              </w:rPr>
              <w:t xml:space="preserve">Introduction/Aim: </w:t>
            </w:r>
          </w:p>
          <w:p w14:paraId="2251F6D5" w14:textId="5CA1131E" w:rsidR="001564A4" w:rsidRPr="002B17AA" w:rsidRDefault="00D3690B" w:rsidP="00075636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2B17AA">
              <w:rPr>
                <w:sz w:val="22"/>
                <w:szCs w:val="22"/>
              </w:rPr>
              <w:t>To evaluate the relationship between FEV1% predicted and RV% predicted in order to identify patients with COPD most likely to be suitable for lung volume reduction</w:t>
            </w:r>
            <w:r w:rsidR="00303585" w:rsidRPr="002B17AA">
              <w:rPr>
                <w:sz w:val="22"/>
                <w:szCs w:val="22"/>
              </w:rPr>
              <w:t xml:space="preserve"> (RV</w:t>
            </w:r>
            <w:r w:rsidR="004D1393" w:rsidRPr="002B17AA">
              <w:rPr>
                <w:sz w:val="22"/>
                <w:szCs w:val="22"/>
              </w:rPr>
              <w:t xml:space="preserve"> predicted </w:t>
            </w:r>
            <w:r w:rsidR="002915BD" w:rsidRPr="002B17AA">
              <w:rPr>
                <w:sz w:val="22"/>
                <w:szCs w:val="22"/>
              </w:rPr>
              <w:t>&gt; 175</w:t>
            </w:r>
            <w:r w:rsidR="00303585" w:rsidRPr="002B17AA">
              <w:rPr>
                <w:sz w:val="22"/>
                <w:szCs w:val="22"/>
              </w:rPr>
              <w:t>%</w:t>
            </w:r>
            <w:r w:rsidR="004D1393" w:rsidRPr="002B17AA">
              <w:rPr>
                <w:sz w:val="22"/>
                <w:szCs w:val="22"/>
              </w:rPr>
              <w:t>)</w:t>
            </w:r>
            <w:r w:rsidRPr="002B17AA">
              <w:rPr>
                <w:sz w:val="22"/>
                <w:szCs w:val="22"/>
              </w:rPr>
              <w:t>.</w:t>
            </w:r>
          </w:p>
          <w:p w14:paraId="1B39336E" w14:textId="77777777" w:rsidR="001564A4" w:rsidRPr="002B17AA" w:rsidRDefault="001564A4" w:rsidP="00A10948">
            <w:pPr>
              <w:pStyle w:val="Pa12"/>
              <w:spacing w:line="240" w:lineRule="auto"/>
              <w:rPr>
                <w:rStyle w:val="A4"/>
                <w:b/>
                <w:bCs/>
                <w:color w:val="auto"/>
              </w:rPr>
            </w:pPr>
            <w:r w:rsidRPr="002B17AA">
              <w:rPr>
                <w:rStyle w:val="A4"/>
                <w:b/>
                <w:bCs/>
                <w:color w:val="auto"/>
              </w:rPr>
              <w:t xml:space="preserve">Methods: </w:t>
            </w:r>
          </w:p>
          <w:p w14:paraId="70A39F78" w14:textId="30865D6F" w:rsidR="001564A4" w:rsidRDefault="00EE2249" w:rsidP="00075636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2B17AA">
              <w:rPr>
                <w:sz w:val="22"/>
                <w:szCs w:val="22"/>
              </w:rPr>
              <w:t>All lung function tests performed at Peninsula Health between</w:t>
            </w:r>
            <w:r w:rsidR="00D3690B" w:rsidRPr="002B17AA">
              <w:rPr>
                <w:sz w:val="22"/>
                <w:szCs w:val="22"/>
              </w:rPr>
              <w:t xml:space="preserve"> January 2015 </w:t>
            </w:r>
            <w:r w:rsidRPr="002B17AA">
              <w:rPr>
                <w:sz w:val="22"/>
                <w:szCs w:val="22"/>
              </w:rPr>
              <w:t>and</w:t>
            </w:r>
            <w:r w:rsidR="00D3690B" w:rsidRPr="002B17AA">
              <w:rPr>
                <w:sz w:val="22"/>
                <w:szCs w:val="22"/>
              </w:rPr>
              <w:t xml:space="preserve"> August 2023</w:t>
            </w:r>
            <w:r w:rsidRPr="002B17AA">
              <w:rPr>
                <w:sz w:val="22"/>
                <w:szCs w:val="22"/>
              </w:rPr>
              <w:t xml:space="preserve"> were extracted, yielding </w:t>
            </w:r>
            <w:r w:rsidR="00303585" w:rsidRPr="002B17AA">
              <w:rPr>
                <w:sz w:val="22"/>
                <w:szCs w:val="22"/>
              </w:rPr>
              <w:t xml:space="preserve">49,855 </w:t>
            </w:r>
            <w:r w:rsidRPr="002B17AA">
              <w:rPr>
                <w:sz w:val="22"/>
                <w:szCs w:val="22"/>
              </w:rPr>
              <w:t xml:space="preserve">spirometry </w:t>
            </w:r>
            <w:r w:rsidR="00303585" w:rsidRPr="002B17AA">
              <w:rPr>
                <w:sz w:val="22"/>
                <w:szCs w:val="22"/>
              </w:rPr>
              <w:t>tests</w:t>
            </w:r>
            <w:r w:rsidRPr="002B17AA">
              <w:rPr>
                <w:sz w:val="22"/>
                <w:szCs w:val="22"/>
              </w:rPr>
              <w:t>.</w:t>
            </w:r>
            <w:r w:rsidR="00303585" w:rsidRPr="002B17AA">
              <w:rPr>
                <w:sz w:val="22"/>
                <w:szCs w:val="22"/>
              </w:rPr>
              <w:t xml:space="preserve"> </w:t>
            </w:r>
            <w:r w:rsidRPr="002B17AA">
              <w:rPr>
                <w:sz w:val="22"/>
                <w:szCs w:val="22"/>
              </w:rPr>
              <w:t>Of these tests, only 2314 (4.6%) included body plethysmography. To define a population of COPD patients, these tests were filtered by (</w:t>
            </w:r>
            <w:proofErr w:type="spellStart"/>
            <w:r w:rsidRPr="002B17AA">
              <w:rPr>
                <w:sz w:val="22"/>
                <w:szCs w:val="22"/>
              </w:rPr>
              <w:t>i</w:t>
            </w:r>
            <w:proofErr w:type="spellEnd"/>
            <w:r w:rsidRPr="002B17AA">
              <w:rPr>
                <w:sz w:val="22"/>
                <w:szCs w:val="22"/>
              </w:rPr>
              <w:t>) age greater than 40 years (ii) Forced expiratory ratio</w:t>
            </w:r>
            <w:r w:rsidR="00207D67" w:rsidRPr="002B17AA">
              <w:rPr>
                <w:sz w:val="22"/>
                <w:szCs w:val="22"/>
              </w:rPr>
              <w:t xml:space="preserve"> (FER)</w:t>
            </w:r>
            <w:r w:rsidRPr="002B17AA">
              <w:rPr>
                <w:sz w:val="22"/>
                <w:szCs w:val="22"/>
              </w:rPr>
              <w:t xml:space="preserve"> less than 60% and (iii) Cigarette pack years greater than 10. </w:t>
            </w:r>
            <w:r w:rsidR="002A2CCC" w:rsidRPr="002B17AA">
              <w:rPr>
                <w:sz w:val="22"/>
                <w:szCs w:val="22"/>
              </w:rPr>
              <w:t xml:space="preserve">Patients with duplicate testing days were included only on the first occasion, resulting in 372 patients with COPD and dual spirometry and plethysmography. </w:t>
            </w:r>
            <w:r w:rsidR="00D3690B" w:rsidRPr="002B17AA">
              <w:rPr>
                <w:sz w:val="22"/>
                <w:szCs w:val="22"/>
              </w:rPr>
              <w:t xml:space="preserve">The relationship between spirometry and </w:t>
            </w:r>
            <w:r w:rsidR="002A2CCC" w:rsidRPr="002B17AA">
              <w:rPr>
                <w:sz w:val="22"/>
                <w:szCs w:val="22"/>
              </w:rPr>
              <w:t>gas trapping</w:t>
            </w:r>
            <w:r w:rsidR="00EC122E" w:rsidRPr="002B17AA">
              <w:rPr>
                <w:sz w:val="22"/>
                <w:szCs w:val="22"/>
              </w:rPr>
              <w:t xml:space="preserve"> was then examined using univariate and multivariate linear regression. </w:t>
            </w:r>
          </w:p>
          <w:p w14:paraId="53F6112D" w14:textId="77777777" w:rsidR="005B49A1" w:rsidRPr="005B49A1" w:rsidRDefault="005B49A1" w:rsidP="005B49A1">
            <w:pPr>
              <w:pStyle w:val="Default"/>
            </w:pPr>
          </w:p>
          <w:p w14:paraId="6BF3F094" w14:textId="77777777" w:rsidR="001564A4" w:rsidRPr="002B17AA" w:rsidRDefault="001564A4" w:rsidP="00A10948">
            <w:pPr>
              <w:pStyle w:val="Pa12"/>
              <w:spacing w:line="240" w:lineRule="auto"/>
              <w:rPr>
                <w:rStyle w:val="A4"/>
                <w:b/>
                <w:bCs/>
                <w:color w:val="auto"/>
              </w:rPr>
            </w:pPr>
            <w:r w:rsidRPr="002B17AA">
              <w:rPr>
                <w:rStyle w:val="A4"/>
                <w:b/>
                <w:bCs/>
                <w:color w:val="auto"/>
              </w:rPr>
              <w:t xml:space="preserve">Results: </w:t>
            </w:r>
          </w:p>
          <w:p w14:paraId="712DFB72" w14:textId="77777777" w:rsidR="006D441A" w:rsidRDefault="00207D67" w:rsidP="00A10948">
            <w:pPr>
              <w:pStyle w:val="Default"/>
              <w:rPr>
                <w:color w:val="auto"/>
                <w:sz w:val="22"/>
                <w:szCs w:val="22"/>
              </w:rPr>
            </w:pPr>
            <w:r w:rsidRPr="002B17AA">
              <w:rPr>
                <w:color w:val="auto"/>
                <w:sz w:val="22"/>
                <w:szCs w:val="22"/>
              </w:rPr>
              <w:t>Baseline group characteristics are shown in Table 1.</w:t>
            </w:r>
          </w:p>
          <w:p w14:paraId="0EB2A02D" w14:textId="1EF67D34" w:rsidR="002A2CCC" w:rsidRPr="00554DFA" w:rsidRDefault="006D441A" w:rsidP="00A10948">
            <w:pPr>
              <w:pStyle w:val="Default"/>
              <w:rPr>
                <w:color w:val="auto"/>
                <w:sz w:val="22"/>
                <w:szCs w:val="22"/>
              </w:rPr>
            </w:pPr>
            <w:r w:rsidRPr="00554DFA">
              <w:rPr>
                <w:color w:val="auto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6662" w:type="dxa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2221"/>
              <w:gridCol w:w="1336"/>
              <w:gridCol w:w="3105"/>
            </w:tblGrid>
            <w:tr w:rsidR="002B17AA" w:rsidRPr="00554DFA" w14:paraId="60320380" w14:textId="77777777" w:rsidTr="006D441A">
              <w:trPr>
                <w:trHeight w:val="321"/>
              </w:trPr>
              <w:tc>
                <w:tcPr>
                  <w:tcW w:w="2221" w:type="dxa"/>
                  <w:noWrap/>
                  <w:hideMark/>
                </w:tcPr>
                <w:p w14:paraId="0E0677B5" w14:textId="77777777" w:rsidR="000D7DF2" w:rsidRPr="00554DFA" w:rsidRDefault="000D7DF2" w:rsidP="006D441A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AU" w:eastAsia="en-AU"/>
                    </w:rPr>
                    <w:t>Parameter</w:t>
                  </w:r>
                </w:p>
              </w:tc>
              <w:tc>
                <w:tcPr>
                  <w:tcW w:w="1336" w:type="dxa"/>
                  <w:noWrap/>
                  <w:hideMark/>
                </w:tcPr>
                <w:p w14:paraId="292B1B0B" w14:textId="30EF28A4" w:rsidR="000D7DF2" w:rsidRPr="00554DFA" w:rsidRDefault="000D7DF2" w:rsidP="006D441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AU" w:eastAsia="en-AU"/>
                    </w:rPr>
                    <w:t xml:space="preserve">Mean </w:t>
                  </w:r>
                  <w:r w:rsidR="006D441A" w:rsidRPr="00554DF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sym w:font="Symbol" w:char="F0B1"/>
                  </w:r>
                  <w:r w:rsidRPr="00554DF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AU" w:eastAsia="en-AU"/>
                    </w:rPr>
                    <w:t xml:space="preserve"> SD</w:t>
                  </w:r>
                </w:p>
              </w:tc>
              <w:tc>
                <w:tcPr>
                  <w:tcW w:w="3105" w:type="dxa"/>
                  <w:noWrap/>
                  <w:hideMark/>
                </w:tcPr>
                <w:p w14:paraId="75B948FD" w14:textId="2C946278" w:rsidR="000D7DF2" w:rsidRPr="00554DFA" w:rsidRDefault="000D7DF2" w:rsidP="00A1094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AU" w:eastAsia="en-AU"/>
                    </w:rPr>
                    <w:t>Range</w:t>
                  </w:r>
                  <w:r w:rsidR="006D441A" w:rsidRPr="00554DF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AU" w:eastAsia="en-AU"/>
                    </w:rPr>
                    <w:t xml:space="preserve"> (min-max)</w:t>
                  </w:r>
                </w:p>
              </w:tc>
            </w:tr>
            <w:tr w:rsidR="002B17AA" w:rsidRPr="00554DFA" w14:paraId="4C207629" w14:textId="77777777" w:rsidTr="006D441A">
              <w:trPr>
                <w:trHeight w:val="321"/>
              </w:trPr>
              <w:tc>
                <w:tcPr>
                  <w:tcW w:w="2221" w:type="dxa"/>
                  <w:noWrap/>
                  <w:hideMark/>
                </w:tcPr>
                <w:p w14:paraId="79BD2D6C" w14:textId="747B4173" w:rsidR="000D7DF2" w:rsidRPr="00554DFA" w:rsidRDefault="000D7DF2" w:rsidP="006D441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Age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(</w:t>
                  </w:r>
                  <w:proofErr w:type="spellStart"/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yrs</w:t>
                  </w:r>
                  <w:proofErr w:type="spellEnd"/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)</w:t>
                  </w:r>
                </w:p>
              </w:tc>
              <w:tc>
                <w:tcPr>
                  <w:tcW w:w="1336" w:type="dxa"/>
                  <w:noWrap/>
                  <w:hideMark/>
                </w:tcPr>
                <w:p w14:paraId="698485F6" w14:textId="2570854D" w:rsidR="000D7DF2" w:rsidRPr="00554DFA" w:rsidRDefault="000D7DF2" w:rsidP="006D44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68.6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</w:rPr>
                    <w:sym w:font="Symbol" w:char="F0B1"/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9.8</w:t>
                  </w:r>
                </w:p>
              </w:tc>
              <w:tc>
                <w:tcPr>
                  <w:tcW w:w="3105" w:type="dxa"/>
                  <w:noWrap/>
                  <w:hideMark/>
                </w:tcPr>
                <w:p w14:paraId="1C1426C8" w14:textId="3BE69574" w:rsidR="000D7DF2" w:rsidRPr="00554DFA" w:rsidRDefault="006D441A" w:rsidP="00A10948">
                  <w:pPr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40-93</w:t>
                  </w:r>
                </w:p>
              </w:tc>
            </w:tr>
            <w:tr w:rsidR="002B17AA" w:rsidRPr="00554DFA" w14:paraId="7DEF1BE5" w14:textId="77777777" w:rsidTr="006D441A">
              <w:trPr>
                <w:trHeight w:val="321"/>
              </w:trPr>
              <w:tc>
                <w:tcPr>
                  <w:tcW w:w="2221" w:type="dxa"/>
                  <w:noWrap/>
                  <w:hideMark/>
                </w:tcPr>
                <w:p w14:paraId="1461E2E1" w14:textId="4350C65C" w:rsidR="000D7DF2" w:rsidRPr="00554DFA" w:rsidRDefault="000D7DF2" w:rsidP="006D441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BMI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(kg.m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val="en-AU" w:eastAsia="en-AU"/>
                    </w:rPr>
                    <w:t>2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)</w:t>
                  </w:r>
                </w:p>
              </w:tc>
              <w:tc>
                <w:tcPr>
                  <w:tcW w:w="1336" w:type="dxa"/>
                  <w:noWrap/>
                  <w:hideMark/>
                </w:tcPr>
                <w:p w14:paraId="0A499F5E" w14:textId="6DFC661A" w:rsidR="000D7DF2" w:rsidRPr="00554DFA" w:rsidRDefault="000D7DF2" w:rsidP="006D44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26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</w:rPr>
                    <w:sym w:font="Symbol" w:char="F0B1"/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6.2</w:t>
                  </w:r>
                </w:p>
              </w:tc>
              <w:tc>
                <w:tcPr>
                  <w:tcW w:w="3105" w:type="dxa"/>
                  <w:noWrap/>
                  <w:hideMark/>
                </w:tcPr>
                <w:p w14:paraId="45739384" w14:textId="24FF12F4" w:rsidR="000D7DF2" w:rsidRPr="00554DFA" w:rsidRDefault="006D441A" w:rsidP="00A10948">
                  <w:pPr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12-53</w:t>
                  </w:r>
                  <w:r w:rsidR="000D7DF2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</w:p>
              </w:tc>
            </w:tr>
            <w:tr w:rsidR="002B17AA" w:rsidRPr="00554DFA" w14:paraId="2C611A6A" w14:textId="77777777" w:rsidTr="006D441A">
              <w:trPr>
                <w:trHeight w:val="321"/>
              </w:trPr>
              <w:tc>
                <w:tcPr>
                  <w:tcW w:w="2221" w:type="dxa"/>
                  <w:noWrap/>
                  <w:hideMark/>
                </w:tcPr>
                <w:p w14:paraId="590E2470" w14:textId="20D70EC3" w:rsidR="000D7DF2" w:rsidRPr="00554DFA" w:rsidRDefault="000D7DF2" w:rsidP="006D441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FEV1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(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% predicted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)</w:t>
                  </w:r>
                </w:p>
              </w:tc>
              <w:tc>
                <w:tcPr>
                  <w:tcW w:w="1336" w:type="dxa"/>
                  <w:noWrap/>
                  <w:hideMark/>
                </w:tcPr>
                <w:p w14:paraId="0E98CD75" w14:textId="1A210FC2" w:rsidR="000D7DF2" w:rsidRPr="00554DFA" w:rsidRDefault="000D7DF2" w:rsidP="006D44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44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</w:rPr>
                    <w:sym w:font="Symbol" w:char="F0B1"/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16.8</w:t>
                  </w:r>
                </w:p>
              </w:tc>
              <w:tc>
                <w:tcPr>
                  <w:tcW w:w="3105" w:type="dxa"/>
                  <w:noWrap/>
                  <w:hideMark/>
                </w:tcPr>
                <w:p w14:paraId="170EC325" w14:textId="712F18ED" w:rsidR="000D7DF2" w:rsidRPr="00554DFA" w:rsidRDefault="006D441A" w:rsidP="00A10948">
                  <w:pPr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14-107</w:t>
                  </w:r>
                </w:p>
              </w:tc>
            </w:tr>
            <w:tr w:rsidR="002B17AA" w:rsidRPr="00554DFA" w14:paraId="33FB3AB2" w14:textId="77777777" w:rsidTr="006D441A">
              <w:trPr>
                <w:trHeight w:val="321"/>
              </w:trPr>
              <w:tc>
                <w:tcPr>
                  <w:tcW w:w="2221" w:type="dxa"/>
                  <w:noWrap/>
                  <w:hideMark/>
                </w:tcPr>
                <w:p w14:paraId="243F2249" w14:textId="33970312" w:rsidR="000D7DF2" w:rsidRPr="00554DFA" w:rsidRDefault="000D7DF2" w:rsidP="006D441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FVC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(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% predicted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)</w:t>
                  </w:r>
                </w:p>
              </w:tc>
              <w:tc>
                <w:tcPr>
                  <w:tcW w:w="1336" w:type="dxa"/>
                  <w:noWrap/>
                  <w:hideMark/>
                </w:tcPr>
                <w:p w14:paraId="251312D4" w14:textId="4A673185" w:rsidR="000D7DF2" w:rsidRPr="00554DFA" w:rsidRDefault="000D7DF2" w:rsidP="006D44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81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</w:rPr>
                    <w:sym w:font="Symbol" w:char="F0B1"/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20.9</w:t>
                  </w:r>
                </w:p>
              </w:tc>
              <w:tc>
                <w:tcPr>
                  <w:tcW w:w="3105" w:type="dxa"/>
                  <w:noWrap/>
                  <w:hideMark/>
                </w:tcPr>
                <w:p w14:paraId="67C60D5B" w14:textId="2AAE94A9" w:rsidR="000D7DF2" w:rsidRPr="00554DFA" w:rsidRDefault="006D441A" w:rsidP="00A10948">
                  <w:pPr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26-164</w:t>
                  </w:r>
                </w:p>
              </w:tc>
            </w:tr>
            <w:tr w:rsidR="002B17AA" w:rsidRPr="00554DFA" w14:paraId="0B10B117" w14:textId="77777777" w:rsidTr="006D441A">
              <w:trPr>
                <w:trHeight w:val="321"/>
              </w:trPr>
              <w:tc>
                <w:tcPr>
                  <w:tcW w:w="2221" w:type="dxa"/>
                  <w:noWrap/>
                  <w:hideMark/>
                </w:tcPr>
                <w:p w14:paraId="480781F3" w14:textId="062A663D" w:rsidR="000D7DF2" w:rsidRPr="00554DFA" w:rsidRDefault="000D7DF2" w:rsidP="006D441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FER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(%)</w:t>
                  </w:r>
                </w:p>
              </w:tc>
              <w:tc>
                <w:tcPr>
                  <w:tcW w:w="1336" w:type="dxa"/>
                  <w:noWrap/>
                  <w:hideMark/>
                </w:tcPr>
                <w:p w14:paraId="63112576" w14:textId="23A0DB7C" w:rsidR="000D7DF2" w:rsidRPr="00554DFA" w:rsidRDefault="000D7DF2" w:rsidP="006D44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41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</w:rPr>
                    <w:sym w:font="Symbol" w:char="F0B1"/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11.3</w:t>
                  </w:r>
                </w:p>
              </w:tc>
              <w:tc>
                <w:tcPr>
                  <w:tcW w:w="3105" w:type="dxa"/>
                  <w:noWrap/>
                  <w:hideMark/>
                </w:tcPr>
                <w:p w14:paraId="23D70612" w14:textId="2EA9F70D" w:rsidR="000D7DF2" w:rsidRPr="00554DFA" w:rsidRDefault="006D441A" w:rsidP="00A10948">
                  <w:pPr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17-60</w:t>
                  </w:r>
                </w:p>
              </w:tc>
            </w:tr>
            <w:tr w:rsidR="002B17AA" w:rsidRPr="00554DFA" w14:paraId="42B12D22" w14:textId="77777777" w:rsidTr="006D441A">
              <w:trPr>
                <w:trHeight w:val="321"/>
              </w:trPr>
              <w:tc>
                <w:tcPr>
                  <w:tcW w:w="2221" w:type="dxa"/>
                  <w:noWrap/>
                  <w:hideMark/>
                </w:tcPr>
                <w:p w14:paraId="1A667CF3" w14:textId="3E0A24AB" w:rsidR="000D7DF2" w:rsidRPr="00554DFA" w:rsidRDefault="000D7DF2" w:rsidP="006D441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TLC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(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% predicted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)</w:t>
                  </w:r>
                </w:p>
              </w:tc>
              <w:tc>
                <w:tcPr>
                  <w:tcW w:w="1336" w:type="dxa"/>
                  <w:noWrap/>
                  <w:hideMark/>
                </w:tcPr>
                <w:p w14:paraId="68D43597" w14:textId="654B3BFA" w:rsidR="000D7DF2" w:rsidRPr="00554DFA" w:rsidRDefault="000D7DF2" w:rsidP="006D44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118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</w:rPr>
                    <w:sym w:font="Symbol" w:char="F0B1"/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22.4</w:t>
                  </w:r>
                </w:p>
              </w:tc>
              <w:tc>
                <w:tcPr>
                  <w:tcW w:w="3105" w:type="dxa"/>
                  <w:noWrap/>
                  <w:hideMark/>
                </w:tcPr>
                <w:p w14:paraId="3018CE5A" w14:textId="066AF596" w:rsidR="000D7DF2" w:rsidRPr="00554DFA" w:rsidRDefault="006D441A" w:rsidP="00A10948">
                  <w:pPr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64-248</w:t>
                  </w:r>
                </w:p>
              </w:tc>
            </w:tr>
            <w:tr w:rsidR="002B17AA" w:rsidRPr="00554DFA" w14:paraId="3E8B847F" w14:textId="77777777" w:rsidTr="006D441A">
              <w:trPr>
                <w:trHeight w:val="321"/>
              </w:trPr>
              <w:tc>
                <w:tcPr>
                  <w:tcW w:w="2221" w:type="dxa"/>
                  <w:noWrap/>
                  <w:hideMark/>
                </w:tcPr>
                <w:p w14:paraId="221D5469" w14:textId="3ED3CF35" w:rsidR="000D7DF2" w:rsidRPr="00554DFA" w:rsidRDefault="000D7DF2" w:rsidP="006D441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RV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(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% predicted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)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</w:p>
              </w:tc>
              <w:tc>
                <w:tcPr>
                  <w:tcW w:w="1336" w:type="dxa"/>
                  <w:noWrap/>
                  <w:hideMark/>
                </w:tcPr>
                <w:p w14:paraId="5A3BF890" w14:textId="2C43AD85" w:rsidR="000D7DF2" w:rsidRPr="00554DFA" w:rsidRDefault="000D7DF2" w:rsidP="006D44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180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</w:rPr>
                    <w:sym w:font="Symbol" w:char="F0B1"/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60.3</w:t>
                  </w:r>
                </w:p>
              </w:tc>
              <w:tc>
                <w:tcPr>
                  <w:tcW w:w="3105" w:type="dxa"/>
                  <w:noWrap/>
                  <w:hideMark/>
                </w:tcPr>
                <w:p w14:paraId="49BBA3E6" w14:textId="7DBEB807" w:rsidR="000D7DF2" w:rsidRPr="00554DFA" w:rsidRDefault="006D441A" w:rsidP="00A10948">
                  <w:pPr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41-449</w:t>
                  </w:r>
                </w:p>
              </w:tc>
            </w:tr>
            <w:tr w:rsidR="002B17AA" w:rsidRPr="00554DFA" w14:paraId="32938CF8" w14:textId="77777777" w:rsidTr="006D441A">
              <w:trPr>
                <w:trHeight w:val="321"/>
              </w:trPr>
              <w:tc>
                <w:tcPr>
                  <w:tcW w:w="2221" w:type="dxa"/>
                  <w:noWrap/>
                  <w:hideMark/>
                </w:tcPr>
                <w:p w14:paraId="0966E318" w14:textId="2EF75856" w:rsidR="000D7DF2" w:rsidRPr="00554DFA" w:rsidRDefault="000D7DF2" w:rsidP="006D441A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bCs/>
                      <w:sz w:val="22"/>
                      <w:szCs w:val="22"/>
                      <w:lang w:val="en-AU" w:eastAsia="en-AU"/>
                    </w:rPr>
                    <w:t xml:space="preserve">DLCO </w:t>
                  </w:r>
                  <w:r w:rsidR="006D441A" w:rsidRPr="00554DFA">
                    <w:rPr>
                      <w:rFonts w:ascii="Arial" w:hAnsi="Arial" w:cs="Arial"/>
                      <w:bCs/>
                      <w:sz w:val="22"/>
                      <w:szCs w:val="22"/>
                      <w:lang w:val="en-AU" w:eastAsia="en-AU"/>
                    </w:rPr>
                    <w:t>(</w:t>
                  </w:r>
                  <w:r w:rsidRPr="00554DFA">
                    <w:rPr>
                      <w:rFonts w:ascii="Arial" w:hAnsi="Arial" w:cs="Arial"/>
                      <w:bCs/>
                      <w:sz w:val="22"/>
                      <w:szCs w:val="22"/>
                      <w:lang w:val="en-AU" w:eastAsia="en-AU"/>
                    </w:rPr>
                    <w:t>%predicted</w:t>
                  </w:r>
                  <w:r w:rsidR="006D441A" w:rsidRPr="00554DFA">
                    <w:rPr>
                      <w:rFonts w:ascii="Arial" w:hAnsi="Arial" w:cs="Arial"/>
                      <w:bCs/>
                      <w:sz w:val="22"/>
                      <w:szCs w:val="22"/>
                      <w:lang w:val="en-AU" w:eastAsia="en-AU"/>
                    </w:rPr>
                    <w:t>)</w:t>
                  </w:r>
                </w:p>
              </w:tc>
              <w:tc>
                <w:tcPr>
                  <w:tcW w:w="1336" w:type="dxa"/>
                  <w:noWrap/>
                  <w:hideMark/>
                </w:tcPr>
                <w:p w14:paraId="4B22B2DC" w14:textId="1D3F9BF3" w:rsidR="000D7DF2" w:rsidRPr="00554DFA" w:rsidRDefault="000D7DF2" w:rsidP="006D44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44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</w:rPr>
                    <w:sym w:font="Symbol" w:char="F0B1"/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17.7</w:t>
                  </w:r>
                </w:p>
              </w:tc>
              <w:tc>
                <w:tcPr>
                  <w:tcW w:w="3105" w:type="dxa"/>
                  <w:noWrap/>
                  <w:hideMark/>
                </w:tcPr>
                <w:p w14:paraId="0D348308" w14:textId="53663ECB" w:rsidR="000D7DF2" w:rsidRPr="00554DFA" w:rsidRDefault="006D441A" w:rsidP="00A10948">
                  <w:pPr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8-112</w:t>
                  </w:r>
                </w:p>
              </w:tc>
            </w:tr>
            <w:tr w:rsidR="002B17AA" w:rsidRPr="00554DFA" w14:paraId="321F1675" w14:textId="77777777" w:rsidTr="006D441A">
              <w:trPr>
                <w:trHeight w:val="321"/>
              </w:trPr>
              <w:tc>
                <w:tcPr>
                  <w:tcW w:w="2221" w:type="dxa"/>
                  <w:noWrap/>
                  <w:hideMark/>
                </w:tcPr>
                <w:p w14:paraId="6193CF5F" w14:textId="01FBE2EE" w:rsidR="000D7DF2" w:rsidRPr="00554DFA" w:rsidRDefault="000D7DF2" w:rsidP="006D441A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bCs/>
                      <w:sz w:val="22"/>
                      <w:szCs w:val="22"/>
                      <w:lang w:val="en-AU" w:eastAsia="en-AU"/>
                    </w:rPr>
                    <w:t>KCO</w:t>
                  </w:r>
                  <w:r w:rsidR="006D441A" w:rsidRPr="00554DFA">
                    <w:rPr>
                      <w:rFonts w:ascii="Arial" w:hAnsi="Arial" w:cs="Arial"/>
                      <w:bCs/>
                      <w:sz w:val="22"/>
                      <w:szCs w:val="22"/>
                      <w:lang w:val="en-AU" w:eastAsia="en-AU"/>
                    </w:rPr>
                    <w:t xml:space="preserve"> (</w:t>
                  </w:r>
                  <w:r w:rsidRPr="00554DFA">
                    <w:rPr>
                      <w:rFonts w:ascii="Arial" w:hAnsi="Arial" w:cs="Arial"/>
                      <w:bCs/>
                      <w:sz w:val="22"/>
                      <w:szCs w:val="22"/>
                      <w:lang w:val="en-AU" w:eastAsia="en-AU"/>
                    </w:rPr>
                    <w:t>% predicted</w:t>
                  </w:r>
                  <w:r w:rsidR="006D441A" w:rsidRPr="00554DFA">
                    <w:rPr>
                      <w:rFonts w:ascii="Arial" w:hAnsi="Arial" w:cs="Arial"/>
                      <w:bCs/>
                      <w:sz w:val="22"/>
                      <w:szCs w:val="22"/>
                      <w:lang w:val="en-AU" w:eastAsia="en-AU"/>
                    </w:rPr>
                    <w:t>)</w:t>
                  </w:r>
                </w:p>
              </w:tc>
              <w:tc>
                <w:tcPr>
                  <w:tcW w:w="1336" w:type="dxa"/>
                  <w:noWrap/>
                  <w:hideMark/>
                </w:tcPr>
                <w:p w14:paraId="7E876213" w14:textId="5907EA44" w:rsidR="000D7DF2" w:rsidRPr="00554DFA" w:rsidRDefault="000D7DF2" w:rsidP="006D44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56 </w:t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</w:rPr>
                    <w:sym w:font="Symbol" w:char="F0B1"/>
                  </w:r>
                  <w:r w:rsidR="006D441A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21.9</w:t>
                  </w:r>
                </w:p>
              </w:tc>
              <w:tc>
                <w:tcPr>
                  <w:tcW w:w="3105" w:type="dxa"/>
                  <w:noWrap/>
                  <w:hideMark/>
                </w:tcPr>
                <w:p w14:paraId="2ACA68B1" w14:textId="213F92FB" w:rsidR="000D7DF2" w:rsidRPr="00554DFA" w:rsidRDefault="006D441A" w:rsidP="00A10948">
                  <w:pPr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</w:pPr>
                  <w:r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>7-129</w:t>
                  </w:r>
                  <w:r w:rsidR="000D7DF2" w:rsidRPr="00554DFA">
                    <w:rPr>
                      <w:rFonts w:ascii="Arial" w:hAnsi="Arial" w:cs="Arial"/>
                      <w:sz w:val="22"/>
                      <w:szCs w:val="22"/>
                      <w:lang w:val="en-AU" w:eastAsia="en-AU"/>
                    </w:rPr>
                    <w:t xml:space="preserve"> </w:t>
                  </w:r>
                </w:p>
              </w:tc>
            </w:tr>
          </w:tbl>
          <w:p w14:paraId="39FEEC2F" w14:textId="77777777" w:rsidR="00A10948" w:rsidRPr="002B17AA" w:rsidRDefault="00A10948" w:rsidP="00A10948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8F77515" w14:textId="1A57C5E7" w:rsidR="001564A4" w:rsidRPr="002B17AA" w:rsidRDefault="006D441A" w:rsidP="00075636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D93474" w:rsidRPr="002B17AA">
              <w:rPr>
                <w:sz w:val="22"/>
                <w:szCs w:val="22"/>
              </w:rPr>
              <w:t xml:space="preserve">evere </w:t>
            </w:r>
            <w:r w:rsidR="00207D67" w:rsidRPr="002B17AA">
              <w:rPr>
                <w:sz w:val="22"/>
                <w:szCs w:val="22"/>
              </w:rPr>
              <w:t xml:space="preserve">gas trapping </w:t>
            </w:r>
            <w:r w:rsidR="00D93474" w:rsidRPr="002B17AA">
              <w:rPr>
                <w:sz w:val="22"/>
                <w:szCs w:val="22"/>
              </w:rPr>
              <w:t>(RV</w:t>
            </w:r>
            <w:r w:rsidR="002915BD" w:rsidRPr="002B17AA">
              <w:rPr>
                <w:sz w:val="22"/>
                <w:szCs w:val="22"/>
              </w:rPr>
              <w:t xml:space="preserve"> predicted &gt; 175</w:t>
            </w:r>
            <w:r w:rsidR="00D93474" w:rsidRPr="002B17AA">
              <w:rPr>
                <w:sz w:val="22"/>
                <w:szCs w:val="22"/>
              </w:rPr>
              <w:t>%</w:t>
            </w:r>
            <w:r w:rsidR="002915BD" w:rsidRPr="002B17A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was observed in 50% of tests (n=185)</w:t>
            </w:r>
            <w:r w:rsidR="002915BD" w:rsidRPr="002B17AA">
              <w:rPr>
                <w:sz w:val="22"/>
                <w:szCs w:val="22"/>
              </w:rPr>
              <w:t xml:space="preserve">. </w:t>
            </w:r>
            <w:r w:rsidR="00207D67" w:rsidRPr="002B17AA">
              <w:rPr>
                <w:sz w:val="22"/>
                <w:szCs w:val="22"/>
              </w:rPr>
              <w:t>Age, BMI</w:t>
            </w:r>
            <w:r w:rsidR="00D4328A" w:rsidRPr="002B17AA">
              <w:rPr>
                <w:sz w:val="22"/>
                <w:szCs w:val="22"/>
              </w:rPr>
              <w:t xml:space="preserve">, </w:t>
            </w:r>
            <w:r w:rsidR="00207D67" w:rsidRPr="002B17AA">
              <w:rPr>
                <w:sz w:val="22"/>
                <w:szCs w:val="22"/>
              </w:rPr>
              <w:t>FER</w:t>
            </w:r>
            <w:r w:rsidR="00D4328A" w:rsidRPr="002B17AA">
              <w:rPr>
                <w:sz w:val="22"/>
                <w:szCs w:val="22"/>
              </w:rPr>
              <w:t xml:space="preserve"> and FEV1 were all </w:t>
            </w:r>
            <w:r w:rsidR="00207D67" w:rsidRPr="002B17AA">
              <w:rPr>
                <w:sz w:val="22"/>
                <w:szCs w:val="22"/>
              </w:rPr>
              <w:t xml:space="preserve">significant negative </w:t>
            </w:r>
            <w:r w:rsidR="00D4328A" w:rsidRPr="002B17AA">
              <w:rPr>
                <w:sz w:val="22"/>
                <w:szCs w:val="22"/>
              </w:rPr>
              <w:t>predictors of RV</w:t>
            </w:r>
            <w:r w:rsidR="00C44A45" w:rsidRPr="002B17AA">
              <w:rPr>
                <w:sz w:val="22"/>
                <w:szCs w:val="22"/>
              </w:rPr>
              <w:t>% predicted</w:t>
            </w:r>
            <w:r w:rsidR="00207D67" w:rsidRPr="002B17AA">
              <w:rPr>
                <w:sz w:val="22"/>
                <w:szCs w:val="22"/>
              </w:rPr>
              <w:t>, but the strongest corelation was with FEV1%, r=-0.653, p&lt;0.001.</w:t>
            </w:r>
            <w:r w:rsidR="00D4328A" w:rsidRPr="002B17AA">
              <w:rPr>
                <w:sz w:val="22"/>
                <w:szCs w:val="22"/>
              </w:rPr>
              <w:t xml:space="preserve"> </w:t>
            </w:r>
          </w:p>
          <w:p w14:paraId="7606AF75" w14:textId="77777777" w:rsidR="002915BD" w:rsidRPr="002B17AA" w:rsidRDefault="002915BD" w:rsidP="00A10948">
            <w:pPr>
              <w:pStyle w:val="Default"/>
              <w:rPr>
                <w:color w:val="auto"/>
                <w:sz w:val="22"/>
                <w:szCs w:val="22"/>
              </w:rPr>
            </w:pPr>
          </w:p>
          <w:tbl>
            <w:tblPr>
              <w:tblStyle w:val="TableGrid"/>
              <w:tblW w:w="9470" w:type="dxa"/>
              <w:tblInd w:w="13" w:type="dxa"/>
              <w:tblLayout w:type="fixed"/>
              <w:tblLook w:val="04A0" w:firstRow="1" w:lastRow="0" w:firstColumn="1" w:lastColumn="0" w:noHBand="0" w:noVBand="1"/>
            </w:tblPr>
            <w:tblGrid>
              <w:gridCol w:w="2030"/>
              <w:gridCol w:w="1240"/>
              <w:gridCol w:w="1240"/>
              <w:gridCol w:w="1240"/>
              <w:gridCol w:w="1240"/>
              <w:gridCol w:w="1240"/>
              <w:gridCol w:w="1240"/>
            </w:tblGrid>
            <w:tr w:rsidR="002B17AA" w:rsidRPr="002B17AA" w14:paraId="2D3BCBEA" w14:textId="36C47445" w:rsidTr="00A10948">
              <w:trPr>
                <w:trHeight w:val="346"/>
              </w:trPr>
              <w:tc>
                <w:tcPr>
                  <w:tcW w:w="2030" w:type="dxa"/>
                </w:tcPr>
                <w:p w14:paraId="0229D09D" w14:textId="77FF7292" w:rsidR="00A10948" w:rsidRPr="00075636" w:rsidRDefault="00A10948" w:rsidP="00A10948">
                  <w:pPr>
                    <w:pStyle w:val="Defaul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075636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FEV1 </w:t>
                  </w:r>
                  <w:r w:rsidR="00075636">
                    <w:rPr>
                      <w:b/>
                      <w:bCs/>
                      <w:color w:val="auto"/>
                      <w:sz w:val="22"/>
                      <w:szCs w:val="22"/>
                    </w:rPr>
                    <w:t>%</w:t>
                  </w:r>
                  <w:r w:rsidRPr="00075636">
                    <w:rPr>
                      <w:b/>
                      <w:bCs/>
                      <w:color w:val="auto"/>
                      <w:sz w:val="22"/>
                      <w:szCs w:val="22"/>
                    </w:rPr>
                    <w:t>predicted</w:t>
                  </w:r>
                </w:p>
              </w:tc>
              <w:tc>
                <w:tcPr>
                  <w:tcW w:w="1240" w:type="dxa"/>
                </w:tcPr>
                <w:p w14:paraId="1934C605" w14:textId="6B7E4724" w:rsidR="00A10948" w:rsidRPr="00075636" w:rsidRDefault="00A10948" w:rsidP="0007563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075636">
                    <w:rPr>
                      <w:b/>
                      <w:bCs/>
                      <w:color w:val="auto"/>
                      <w:sz w:val="22"/>
                      <w:szCs w:val="22"/>
                    </w:rPr>
                    <w:t>&lt; 30</w:t>
                  </w:r>
                </w:p>
              </w:tc>
              <w:tc>
                <w:tcPr>
                  <w:tcW w:w="1240" w:type="dxa"/>
                </w:tcPr>
                <w:p w14:paraId="189D5D07" w14:textId="1DDB312B" w:rsidR="00A10948" w:rsidRPr="00075636" w:rsidRDefault="00A10948" w:rsidP="0007563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075636">
                    <w:rPr>
                      <w:b/>
                      <w:bCs/>
                      <w:color w:val="auto"/>
                      <w:sz w:val="22"/>
                      <w:szCs w:val="22"/>
                    </w:rPr>
                    <w:t>30 – 39</w:t>
                  </w:r>
                </w:p>
              </w:tc>
              <w:tc>
                <w:tcPr>
                  <w:tcW w:w="1240" w:type="dxa"/>
                </w:tcPr>
                <w:p w14:paraId="68068A4A" w14:textId="7CFA0846" w:rsidR="00A10948" w:rsidRPr="00075636" w:rsidRDefault="00A10948" w:rsidP="0007563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075636">
                    <w:rPr>
                      <w:b/>
                      <w:bCs/>
                      <w:color w:val="auto"/>
                      <w:sz w:val="22"/>
                      <w:szCs w:val="22"/>
                    </w:rPr>
                    <w:t>40 – 49</w:t>
                  </w:r>
                </w:p>
              </w:tc>
              <w:tc>
                <w:tcPr>
                  <w:tcW w:w="1240" w:type="dxa"/>
                </w:tcPr>
                <w:p w14:paraId="5DF4344A" w14:textId="1F1C547A" w:rsidR="00A10948" w:rsidRPr="00075636" w:rsidRDefault="00A10948" w:rsidP="0007563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075636">
                    <w:rPr>
                      <w:b/>
                      <w:bCs/>
                      <w:color w:val="auto"/>
                      <w:sz w:val="22"/>
                      <w:szCs w:val="22"/>
                    </w:rPr>
                    <w:t>50 – 59</w:t>
                  </w:r>
                </w:p>
              </w:tc>
              <w:tc>
                <w:tcPr>
                  <w:tcW w:w="1240" w:type="dxa"/>
                </w:tcPr>
                <w:p w14:paraId="7C86DAF0" w14:textId="1CE18724" w:rsidR="00A10948" w:rsidRPr="00075636" w:rsidRDefault="00A10948" w:rsidP="0007563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075636">
                    <w:rPr>
                      <w:b/>
                      <w:bCs/>
                      <w:color w:val="auto"/>
                      <w:sz w:val="22"/>
                      <w:szCs w:val="22"/>
                    </w:rPr>
                    <w:t>60-69</w:t>
                  </w:r>
                </w:p>
              </w:tc>
              <w:tc>
                <w:tcPr>
                  <w:tcW w:w="1240" w:type="dxa"/>
                </w:tcPr>
                <w:p w14:paraId="29AD447F" w14:textId="130A3A1C" w:rsidR="00A10948" w:rsidRPr="00075636" w:rsidRDefault="00A10948" w:rsidP="0007563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075636">
                    <w:rPr>
                      <w:b/>
                      <w:bCs/>
                      <w:color w:val="auto"/>
                      <w:sz w:val="22"/>
                      <w:szCs w:val="22"/>
                    </w:rPr>
                    <w:t>&gt; 70</w:t>
                  </w:r>
                </w:p>
              </w:tc>
            </w:tr>
            <w:tr w:rsidR="002B17AA" w:rsidRPr="002B17AA" w14:paraId="60149799" w14:textId="77299646" w:rsidTr="00A10948">
              <w:trPr>
                <w:trHeight w:val="346"/>
              </w:trPr>
              <w:tc>
                <w:tcPr>
                  <w:tcW w:w="2030" w:type="dxa"/>
                </w:tcPr>
                <w:p w14:paraId="6A0AA63F" w14:textId="1D828739" w:rsidR="00A10948" w:rsidRPr="002B17AA" w:rsidRDefault="00A10948" w:rsidP="00A10948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 xml:space="preserve">Number of </w:t>
                  </w:r>
                  <w:r w:rsidR="00075636">
                    <w:rPr>
                      <w:color w:val="auto"/>
                      <w:sz w:val="22"/>
                      <w:szCs w:val="22"/>
                    </w:rPr>
                    <w:t>tests</w:t>
                  </w:r>
                </w:p>
              </w:tc>
              <w:tc>
                <w:tcPr>
                  <w:tcW w:w="1240" w:type="dxa"/>
                </w:tcPr>
                <w:p w14:paraId="3598C1B6" w14:textId="55295258" w:rsidR="00A10948" w:rsidRPr="002B17AA" w:rsidRDefault="00120584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1240" w:type="dxa"/>
                </w:tcPr>
                <w:p w14:paraId="404C4280" w14:textId="385468F2" w:rsidR="00A10948" w:rsidRPr="002B17AA" w:rsidRDefault="00120584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1240" w:type="dxa"/>
                </w:tcPr>
                <w:p w14:paraId="48A00B1B" w14:textId="36984B5A" w:rsidR="00A10948" w:rsidRPr="002B17AA" w:rsidRDefault="00120584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240" w:type="dxa"/>
                </w:tcPr>
                <w:p w14:paraId="3ED6E626" w14:textId="1ED0E40F" w:rsidR="00A10948" w:rsidRPr="002B17AA" w:rsidRDefault="005856B1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240" w:type="dxa"/>
                </w:tcPr>
                <w:p w14:paraId="55480364" w14:textId="76FF7E66" w:rsidR="00A10948" w:rsidRPr="002B17AA" w:rsidRDefault="005856B1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240" w:type="dxa"/>
                </w:tcPr>
                <w:p w14:paraId="1176E8FA" w14:textId="222CAA6B" w:rsidR="00A10948" w:rsidRPr="002B17AA" w:rsidRDefault="00A10948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28</w:t>
                  </w:r>
                </w:p>
              </w:tc>
            </w:tr>
            <w:tr w:rsidR="002B17AA" w:rsidRPr="002B17AA" w14:paraId="59F7A9F7" w14:textId="19D487E1" w:rsidTr="00A10948">
              <w:trPr>
                <w:trHeight w:val="346"/>
              </w:trPr>
              <w:tc>
                <w:tcPr>
                  <w:tcW w:w="2030" w:type="dxa"/>
                </w:tcPr>
                <w:p w14:paraId="1D545286" w14:textId="098E40AB" w:rsidR="00A10948" w:rsidRPr="002B17AA" w:rsidRDefault="00075636" w:rsidP="00A10948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T</w:t>
                  </w:r>
                  <w:r w:rsidR="00A10948" w:rsidRPr="002B17AA">
                    <w:rPr>
                      <w:color w:val="auto"/>
                      <w:sz w:val="22"/>
                      <w:szCs w:val="22"/>
                    </w:rPr>
                    <w:t>ests with RV predicted &gt; 175%</w:t>
                  </w:r>
                </w:p>
              </w:tc>
              <w:tc>
                <w:tcPr>
                  <w:tcW w:w="1240" w:type="dxa"/>
                </w:tcPr>
                <w:p w14:paraId="46EE8F02" w14:textId="193696E8" w:rsidR="00A10948" w:rsidRPr="002B17AA" w:rsidRDefault="00120584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72 (86%)</w:t>
                  </w:r>
                </w:p>
              </w:tc>
              <w:tc>
                <w:tcPr>
                  <w:tcW w:w="1240" w:type="dxa"/>
                </w:tcPr>
                <w:p w14:paraId="48F11FA2" w14:textId="449E0FE7" w:rsidR="00A10948" w:rsidRPr="002B17AA" w:rsidRDefault="00120584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63 (68%)</w:t>
                  </w:r>
                </w:p>
              </w:tc>
              <w:tc>
                <w:tcPr>
                  <w:tcW w:w="1240" w:type="dxa"/>
                </w:tcPr>
                <w:p w14:paraId="655776DF" w14:textId="67F87D26" w:rsidR="00A10948" w:rsidRPr="002B17AA" w:rsidRDefault="00120584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34 (50%)</w:t>
                  </w:r>
                </w:p>
              </w:tc>
              <w:tc>
                <w:tcPr>
                  <w:tcW w:w="1240" w:type="dxa"/>
                </w:tcPr>
                <w:p w14:paraId="67782DDD" w14:textId="7EC7684E" w:rsidR="00A10948" w:rsidRPr="002B17AA" w:rsidRDefault="005856B1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9 (20%)</w:t>
                  </w:r>
                </w:p>
              </w:tc>
              <w:tc>
                <w:tcPr>
                  <w:tcW w:w="1240" w:type="dxa"/>
                </w:tcPr>
                <w:p w14:paraId="088463DC" w14:textId="22ED2430" w:rsidR="00A10948" w:rsidRPr="002B17AA" w:rsidRDefault="005856B1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7 (3%)</w:t>
                  </w:r>
                </w:p>
              </w:tc>
              <w:tc>
                <w:tcPr>
                  <w:tcW w:w="1240" w:type="dxa"/>
                </w:tcPr>
                <w:p w14:paraId="096D7A0A" w14:textId="15F01BF6" w:rsidR="00A10948" w:rsidRPr="002B17AA" w:rsidRDefault="00A10948" w:rsidP="00075636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2B17AA">
                    <w:rPr>
                      <w:color w:val="auto"/>
                      <w:sz w:val="22"/>
                      <w:szCs w:val="22"/>
                    </w:rPr>
                    <w:t>0</w:t>
                  </w:r>
                  <w:r w:rsidR="00075636">
                    <w:rPr>
                      <w:color w:val="auto"/>
                      <w:sz w:val="22"/>
                      <w:szCs w:val="22"/>
                    </w:rPr>
                    <w:t xml:space="preserve"> (0%)</w:t>
                  </w:r>
                </w:p>
              </w:tc>
            </w:tr>
          </w:tbl>
          <w:p w14:paraId="200C8DE7" w14:textId="77777777" w:rsidR="005B49A1" w:rsidRDefault="005B49A1" w:rsidP="00A10948">
            <w:pPr>
              <w:pStyle w:val="Pa12"/>
              <w:spacing w:line="240" w:lineRule="auto"/>
              <w:rPr>
                <w:rStyle w:val="A4"/>
                <w:b/>
                <w:bCs/>
                <w:color w:val="auto"/>
              </w:rPr>
            </w:pPr>
          </w:p>
          <w:p w14:paraId="652F7BE1" w14:textId="21FDC8C9" w:rsidR="001564A4" w:rsidRPr="002B17AA" w:rsidRDefault="001564A4" w:rsidP="00A10948">
            <w:pPr>
              <w:pStyle w:val="Pa12"/>
              <w:spacing w:line="240" w:lineRule="auto"/>
              <w:rPr>
                <w:rStyle w:val="A4"/>
                <w:b/>
                <w:bCs/>
                <w:color w:val="auto"/>
              </w:rPr>
            </w:pPr>
            <w:r w:rsidRPr="002B17AA">
              <w:rPr>
                <w:rStyle w:val="A4"/>
                <w:b/>
                <w:bCs/>
                <w:color w:val="auto"/>
              </w:rPr>
              <w:t>Conclusion</w:t>
            </w:r>
            <w:r w:rsidR="00FE3A52" w:rsidRPr="002B17AA">
              <w:rPr>
                <w:rStyle w:val="A4"/>
                <w:b/>
                <w:bCs/>
                <w:color w:val="auto"/>
              </w:rPr>
              <w:t>s</w:t>
            </w:r>
            <w:r w:rsidRPr="002B17AA">
              <w:rPr>
                <w:rStyle w:val="A4"/>
                <w:b/>
                <w:bCs/>
                <w:color w:val="auto"/>
              </w:rPr>
              <w:t xml:space="preserve">: </w:t>
            </w:r>
          </w:p>
          <w:p w14:paraId="6F69B514" w14:textId="78E08BD2" w:rsidR="00FE3A52" w:rsidRPr="002B17AA" w:rsidRDefault="00FE3A52" w:rsidP="00A10948">
            <w:pPr>
              <w:pStyle w:val="Pa12"/>
              <w:spacing w:line="240" w:lineRule="auto"/>
              <w:rPr>
                <w:rStyle w:val="A4"/>
                <w:bCs/>
                <w:color w:val="auto"/>
              </w:rPr>
            </w:pPr>
            <w:r w:rsidRPr="002B17AA">
              <w:rPr>
                <w:rStyle w:val="A4"/>
                <w:bCs/>
                <w:color w:val="auto"/>
              </w:rPr>
              <w:t>1 B</w:t>
            </w:r>
            <w:r w:rsidR="002915BD" w:rsidRPr="002B17AA">
              <w:rPr>
                <w:rStyle w:val="A4"/>
                <w:bCs/>
                <w:color w:val="auto"/>
              </w:rPr>
              <w:t>ody plethysmography</w:t>
            </w:r>
            <w:r w:rsidRPr="002B17AA">
              <w:rPr>
                <w:rStyle w:val="A4"/>
                <w:bCs/>
                <w:color w:val="auto"/>
              </w:rPr>
              <w:t xml:space="preserve"> appears to be underutilized in this population</w:t>
            </w:r>
            <w:r w:rsidR="000E6C36">
              <w:rPr>
                <w:rStyle w:val="A4"/>
                <w:bCs/>
                <w:color w:val="auto"/>
              </w:rPr>
              <w:t>.</w:t>
            </w:r>
          </w:p>
          <w:p w14:paraId="65C7E645" w14:textId="16AFFF44" w:rsidR="00FE3A52" w:rsidRPr="002B17AA" w:rsidRDefault="00FE3A52" w:rsidP="00A10948">
            <w:pPr>
              <w:pStyle w:val="Pa12"/>
              <w:spacing w:line="240" w:lineRule="auto"/>
              <w:rPr>
                <w:rStyle w:val="A4"/>
                <w:bCs/>
                <w:color w:val="auto"/>
              </w:rPr>
            </w:pPr>
            <w:r w:rsidRPr="002B17AA">
              <w:rPr>
                <w:rStyle w:val="A4"/>
                <w:bCs/>
                <w:color w:val="auto"/>
              </w:rPr>
              <w:t>2 Severe gas trapping was surprisingly common (50% of COPD patients)</w:t>
            </w:r>
            <w:r w:rsidR="000E6C36">
              <w:rPr>
                <w:rStyle w:val="A4"/>
                <w:bCs/>
                <w:color w:val="auto"/>
              </w:rPr>
              <w:t>.</w:t>
            </w:r>
          </w:p>
          <w:p w14:paraId="196E7BAC" w14:textId="4B9E5B0B" w:rsidR="001564A4" w:rsidRPr="002B17AA" w:rsidRDefault="00FE3A52" w:rsidP="00A10948">
            <w:pPr>
              <w:pStyle w:val="Pa12"/>
              <w:spacing w:line="240" w:lineRule="auto"/>
              <w:rPr>
                <w:rStyle w:val="A4"/>
                <w:bCs/>
                <w:color w:val="auto"/>
              </w:rPr>
            </w:pPr>
            <w:r w:rsidRPr="002B17AA">
              <w:rPr>
                <w:rStyle w:val="A4"/>
                <w:bCs/>
                <w:color w:val="auto"/>
              </w:rPr>
              <w:t xml:space="preserve">3 </w:t>
            </w:r>
            <w:r w:rsidR="00444CAC" w:rsidRPr="002B17AA">
              <w:rPr>
                <w:rStyle w:val="A4"/>
                <w:bCs/>
                <w:color w:val="auto"/>
              </w:rPr>
              <w:t xml:space="preserve">The degree of hyperinflation can be predicted by </w:t>
            </w:r>
            <w:r w:rsidRPr="002B17AA">
              <w:rPr>
                <w:rStyle w:val="A4"/>
                <w:bCs/>
                <w:color w:val="auto"/>
              </w:rPr>
              <w:t>the FEV1%</w:t>
            </w:r>
            <w:r w:rsidR="00881EB2">
              <w:rPr>
                <w:rStyle w:val="A4"/>
                <w:bCs/>
                <w:color w:val="auto"/>
              </w:rPr>
              <w:t xml:space="preserve"> </w:t>
            </w:r>
            <w:r w:rsidRPr="002B17AA">
              <w:rPr>
                <w:rStyle w:val="A4"/>
                <w:bCs/>
                <w:color w:val="auto"/>
              </w:rPr>
              <w:t>predicted and is uncommon if FEV1% is greater than 50%.</w:t>
            </w:r>
            <w:r w:rsidR="00A612BB" w:rsidRPr="002B17AA">
              <w:rPr>
                <w:rStyle w:val="A4"/>
                <w:bCs/>
                <w:color w:val="auto"/>
              </w:rPr>
              <w:t xml:space="preserve"> </w:t>
            </w:r>
          </w:p>
          <w:p w14:paraId="0E627887" w14:textId="77777777" w:rsidR="001564A4" w:rsidRPr="00214BF2" w:rsidRDefault="001564A4" w:rsidP="00A10948">
            <w:pPr>
              <w:pStyle w:val="Pa12"/>
              <w:spacing w:line="240" w:lineRule="auto"/>
              <w:rPr>
                <w:rStyle w:val="A4"/>
                <w:bCs/>
                <w:color w:val="auto"/>
              </w:rPr>
            </w:pPr>
            <w:r w:rsidRPr="00214BF2">
              <w:rPr>
                <w:rStyle w:val="A4"/>
                <w:b/>
                <w:bCs/>
                <w:color w:val="auto"/>
              </w:rPr>
              <w:t xml:space="preserve">Grant Support: </w:t>
            </w:r>
            <w:r w:rsidR="002915BD" w:rsidRPr="00214BF2">
              <w:rPr>
                <w:rStyle w:val="A4"/>
                <w:bCs/>
                <w:color w:val="auto"/>
              </w:rPr>
              <w:t xml:space="preserve">nil </w:t>
            </w:r>
          </w:p>
          <w:p w14:paraId="5F58D34F" w14:textId="4E4046FD" w:rsidR="00214BF2" w:rsidRPr="00214BF2" w:rsidRDefault="00214BF2" w:rsidP="00214BF2">
            <w:pPr>
              <w:pStyle w:val="Default"/>
            </w:pPr>
            <w:r w:rsidRPr="00214BF2">
              <w:rPr>
                <w:b/>
                <w:sz w:val="22"/>
                <w:szCs w:val="22"/>
              </w:rPr>
              <w:t xml:space="preserve">Key words: </w:t>
            </w:r>
            <w:r w:rsidRPr="00214BF2">
              <w:rPr>
                <w:sz w:val="22"/>
                <w:szCs w:val="22"/>
              </w:rPr>
              <w:t>FEV1, RV, lung volume reduction</w:t>
            </w:r>
            <w:r>
              <w:t xml:space="preserve"> </w:t>
            </w:r>
          </w:p>
        </w:tc>
      </w:tr>
    </w:tbl>
    <w:p w14:paraId="7C36A9DC" w14:textId="32A70617" w:rsidR="00E0700F" w:rsidRPr="00A10948" w:rsidRDefault="00E0700F" w:rsidP="00A10948">
      <w:pPr>
        <w:rPr>
          <w:sz w:val="22"/>
          <w:szCs w:val="22"/>
        </w:rPr>
      </w:pPr>
    </w:p>
    <w:sectPr w:rsidR="00E0700F" w:rsidRPr="00A10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F5A"/>
    <w:multiLevelType w:val="hybridMultilevel"/>
    <w:tmpl w:val="7ADA5C50"/>
    <w:lvl w:ilvl="0" w:tplc="4E3E2F00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55C44"/>
    <w:multiLevelType w:val="hybridMultilevel"/>
    <w:tmpl w:val="8EBADBAA"/>
    <w:lvl w:ilvl="0" w:tplc="3DF082AC">
      <w:start w:val="1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199460">
    <w:abstractNumId w:val="0"/>
  </w:num>
  <w:num w:numId="2" w16cid:durableId="748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75636"/>
    <w:rsid w:val="000D7DF2"/>
    <w:rsid w:val="000E3CC3"/>
    <w:rsid w:val="000E6C36"/>
    <w:rsid w:val="00120584"/>
    <w:rsid w:val="001564A4"/>
    <w:rsid w:val="00207D67"/>
    <w:rsid w:val="00214BF2"/>
    <w:rsid w:val="002915BD"/>
    <w:rsid w:val="002A2CCC"/>
    <w:rsid w:val="002B17AA"/>
    <w:rsid w:val="00303585"/>
    <w:rsid w:val="00311A4D"/>
    <w:rsid w:val="0032500F"/>
    <w:rsid w:val="0033163A"/>
    <w:rsid w:val="00426148"/>
    <w:rsid w:val="00444CAC"/>
    <w:rsid w:val="00455A5A"/>
    <w:rsid w:val="004D1393"/>
    <w:rsid w:val="004E7810"/>
    <w:rsid w:val="0051574E"/>
    <w:rsid w:val="00554DFA"/>
    <w:rsid w:val="005856B1"/>
    <w:rsid w:val="00592233"/>
    <w:rsid w:val="005B49A1"/>
    <w:rsid w:val="005C29C4"/>
    <w:rsid w:val="005C5A9F"/>
    <w:rsid w:val="005F53BD"/>
    <w:rsid w:val="006963C8"/>
    <w:rsid w:val="006A20C7"/>
    <w:rsid w:val="006D441A"/>
    <w:rsid w:val="007944D2"/>
    <w:rsid w:val="007955F0"/>
    <w:rsid w:val="007D6D03"/>
    <w:rsid w:val="008803FA"/>
    <w:rsid w:val="00881EB2"/>
    <w:rsid w:val="008C7610"/>
    <w:rsid w:val="009F5320"/>
    <w:rsid w:val="00A05774"/>
    <w:rsid w:val="00A10948"/>
    <w:rsid w:val="00A612BB"/>
    <w:rsid w:val="00A67126"/>
    <w:rsid w:val="00A72622"/>
    <w:rsid w:val="00B12E32"/>
    <w:rsid w:val="00B20C42"/>
    <w:rsid w:val="00BC254A"/>
    <w:rsid w:val="00BC77AF"/>
    <w:rsid w:val="00C44A45"/>
    <w:rsid w:val="00C818F1"/>
    <w:rsid w:val="00D32EA9"/>
    <w:rsid w:val="00D3690B"/>
    <w:rsid w:val="00D4328A"/>
    <w:rsid w:val="00D93474"/>
    <w:rsid w:val="00E0700F"/>
    <w:rsid w:val="00E5740E"/>
    <w:rsid w:val="00EC122E"/>
    <w:rsid w:val="00EC13DE"/>
    <w:rsid w:val="00EE2249"/>
    <w:rsid w:val="00F4129D"/>
    <w:rsid w:val="00FA5C16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docId w15:val="{23E21292-7CB0-43E5-B755-C20E9964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39"/>
    <w:rsid w:val="00291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purl.org/dc/terms/"/>
    <ds:schemaRef ds:uri="6911e96c-4cc4-42d5-8e43-f93924cf6a05"/>
    <ds:schemaRef ds:uri="http://schemas.openxmlformats.org/package/2006/metadata/core-properties"/>
    <ds:schemaRef ds:uri="http://schemas.microsoft.com/office/infopath/2007/PartnerControls"/>
    <ds:schemaRef ds:uri="cab52c9b-ab33-4221-8af9-54f8f2b86a80"/>
    <ds:schemaRef ds:uri="9c8a2b7b-0bee-4c48-b0a6-23db8982d3bc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Peninsula Health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 Talagi</dc:creator>
  <cp:lastModifiedBy>Leah McLeod</cp:lastModifiedBy>
  <cp:revision>2</cp:revision>
  <dcterms:created xsi:type="dcterms:W3CDTF">2023-10-16T23:30:00Z</dcterms:created>
  <dcterms:modified xsi:type="dcterms:W3CDTF">2023-10-16T23:30:00Z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