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83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FC2640" w:rsidRPr="0050053A" w14:paraId="637B3EE7" w14:textId="77777777" w:rsidTr="00FC2640">
        <w:tc>
          <w:tcPr>
            <w:tcW w:w="8640" w:type="dxa"/>
            <w:shd w:val="clear" w:color="auto" w:fill="auto"/>
          </w:tcPr>
          <w:p w14:paraId="6BFCFCCD" w14:textId="7D1C5806" w:rsidR="00FC2640" w:rsidRPr="00EF30A0" w:rsidRDefault="00FC2640" w:rsidP="00FC26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48394895"/>
            <w:bookmarkEnd w:id="0"/>
            <w:r w:rsidRPr="00EF30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Describing the </w:t>
            </w:r>
            <w:r w:rsidR="007A1ECE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EF30A0">
              <w:rPr>
                <w:rFonts w:ascii="Arial" w:hAnsi="Arial" w:cs="Arial"/>
                <w:b/>
                <w:bCs/>
                <w:sz w:val="22"/>
                <w:szCs w:val="22"/>
              </w:rPr>
              <w:t>diopathic inflammatory myopathy population in the Australasian Interstitial lung disease registry</w:t>
            </w:r>
          </w:p>
        </w:tc>
      </w:tr>
      <w:tr w:rsidR="00FC2640" w:rsidRPr="0050053A" w14:paraId="663C17DD" w14:textId="77777777" w:rsidTr="00FC2640">
        <w:tc>
          <w:tcPr>
            <w:tcW w:w="8640" w:type="dxa"/>
            <w:shd w:val="clear" w:color="auto" w:fill="auto"/>
          </w:tcPr>
          <w:p w14:paraId="0A291CA2" w14:textId="616104B2" w:rsidR="00FC2640" w:rsidRPr="00717891" w:rsidRDefault="00D9511E" w:rsidP="00FC2640">
            <w:pPr>
              <w:spacing w:before="120" w:after="120"/>
              <w:rPr>
                <w:rFonts w:ascii="Arial" w:hAnsi="Arial" w:cs="Arial"/>
                <w:sz w:val="15"/>
                <w:szCs w:val="15"/>
                <w:u w:val="single"/>
                <w:lang w:eastAsia="zh-CN"/>
              </w:rPr>
            </w:pP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Andre Chobanian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1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Matthew Parker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1,22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 xml:space="preserve">, 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Ian Glaspole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2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 Margaret Wilsher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3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Jeremy Wrobel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4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 Yuben Moodley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4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 Francis Thien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5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Henry Gallagher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6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Michelle Galbraith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6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Daniel Chambers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7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John Mackintosh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7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 Nicole Goh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8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Yet Khor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8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Sally de Boer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3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Adrienne Edwards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9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Karen Royals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10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Christopher Grainge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11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Benjamin Kwan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12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Gregory Keir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13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Chong Ong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14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Paul Reynolds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1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5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 Elizabeth Veitch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16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Alan Teoh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17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Jason D’Costa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18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Eli Gabbay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19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Irene Moore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20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, </w:t>
            </w:r>
            <w:r w:rsidRPr="009665B5">
              <w:rPr>
                <w:rFonts w:ascii="Arial" w:hAnsi="Arial" w:cs="Arial"/>
                <w:sz w:val="16"/>
                <w:szCs w:val="16"/>
                <w:lang w:val="en-US" w:eastAsia="en-GB"/>
              </w:rPr>
              <w:t>Fiona Lake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val="en-US" w:eastAsia="en-GB"/>
              </w:rPr>
              <w:t>21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, 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Lauren Troy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2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2</w:t>
            </w:r>
            <w:r w:rsidRPr="009665B5">
              <w:rPr>
                <w:rFonts w:ascii="Arial" w:hAnsi="Arial" w:cs="Arial"/>
                <w:sz w:val="16"/>
                <w:szCs w:val="16"/>
                <w:lang w:eastAsia="en-GB"/>
              </w:rPr>
              <w:t>, Tamera Corte</w:t>
            </w:r>
            <w:r w:rsidR="002D667E"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1,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2</w:t>
            </w:r>
            <w:r w:rsidRPr="009665B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2</w:t>
            </w:r>
          </w:p>
        </w:tc>
      </w:tr>
      <w:tr w:rsidR="00FC2640" w:rsidRPr="0050053A" w14:paraId="15D628A4" w14:textId="77777777" w:rsidTr="00FC2640">
        <w:trPr>
          <w:trHeight w:val="136"/>
        </w:trPr>
        <w:tc>
          <w:tcPr>
            <w:tcW w:w="8640" w:type="dxa"/>
            <w:shd w:val="clear" w:color="auto" w:fill="auto"/>
          </w:tcPr>
          <w:p w14:paraId="6FC90AE6" w14:textId="77777777" w:rsidR="00E1362F" w:rsidRPr="002F6CDA" w:rsidRDefault="00E1362F" w:rsidP="00E1362F">
            <w:pPr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14:paraId="291F6D1C" w14:textId="60E3D5C8" w:rsidR="00FC2640" w:rsidRPr="009665B5" w:rsidRDefault="00E1362F" w:rsidP="00E1362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The University of Sydney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>, NSW, Australia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Alfred Hospital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>, VIC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Australia,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3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Auckland City Hospital,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NZ,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4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Fiona Stanley Hospital, 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WA, Australia,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5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Eastern Health Box Hill Hospital,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VIC, Australia,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6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Waikato Hospital, 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NZ,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7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 Prince Charles Hospital, 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QLD, Australia,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8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 Austin Hospital, 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VIC, Australia,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9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Christchurch Hospital, 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NZ,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10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Queen Elizabeth Hospital,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SA, Australia,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John Hunter Hospital, 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NSW, Australia,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12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Sutherland Hospital,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NSW, Australia,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13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Princess Alexandra Hospital,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QLD, Australia,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14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St Vincent’s Hospital Melbourne, 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VIC, Australia,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15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Royal Adelaide Hospital,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SA, Australia,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16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Concord Hospital,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NSW, Australia,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17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Westmead Hospital,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NSW, Australia,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18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Flinders Medical Centre, 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SA, Australia,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19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St John of God Subiaco Hospital, 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WA, Australia,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20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Royal Perth Hospital,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WA, Australia,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Sir Charles Gairdner Hospital,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WA, Australia</w:t>
            </w:r>
            <w:r w:rsidR="00610B2D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414E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22</w:t>
            </w:r>
            <w:r w:rsidRPr="009665B5">
              <w:rPr>
                <w:rFonts w:ascii="Arial" w:hAnsi="Arial" w:cs="Arial"/>
                <w:i/>
                <w:iCs/>
                <w:sz w:val="16"/>
                <w:szCs w:val="16"/>
              </w:rPr>
              <w:t>Royal Prince Alfred Hospital</w:t>
            </w:r>
            <w:r w:rsidR="004A33ED">
              <w:rPr>
                <w:rFonts w:ascii="Arial" w:hAnsi="Arial" w:cs="Arial"/>
                <w:i/>
                <w:iCs/>
                <w:sz w:val="16"/>
                <w:szCs w:val="16"/>
              </w:rPr>
              <w:t>, NSW, Australia</w:t>
            </w:r>
          </w:p>
          <w:p w14:paraId="7B30AFD3" w14:textId="23A2D554" w:rsidR="00E1362F" w:rsidRPr="00074299" w:rsidRDefault="00E1362F" w:rsidP="00E1362F">
            <w:pPr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</w:tc>
      </w:tr>
      <w:tr w:rsidR="00FC2640" w:rsidRPr="0050053A" w14:paraId="37C0AC47" w14:textId="77777777" w:rsidTr="00BF5B04">
        <w:trPr>
          <w:trHeight w:hRule="exact" w:val="9649"/>
        </w:trPr>
        <w:tc>
          <w:tcPr>
            <w:tcW w:w="8640" w:type="dxa"/>
            <w:shd w:val="clear" w:color="auto" w:fill="auto"/>
          </w:tcPr>
          <w:p w14:paraId="1B608046" w14:textId="5BA44530" w:rsidR="00FC2640" w:rsidRPr="00A20C45" w:rsidRDefault="00FC2640" w:rsidP="00A20C45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EF30A0">
              <w:rPr>
                <w:rStyle w:val="A4"/>
                <w:b/>
                <w:bCs/>
              </w:rPr>
              <w:t>Introduction/Aim:</w:t>
            </w:r>
            <w:r w:rsidR="00A20C45">
              <w:rPr>
                <w:rStyle w:val="A4"/>
                <w:b/>
                <w:bCs/>
              </w:rPr>
              <w:t xml:space="preserve"> </w:t>
            </w:r>
            <w:r w:rsidRPr="00EF30A0">
              <w:rPr>
                <w:sz w:val="22"/>
                <w:szCs w:val="22"/>
              </w:rPr>
              <w:t xml:space="preserve">Interstitial </w:t>
            </w:r>
            <w:r w:rsidR="007A1ECE">
              <w:rPr>
                <w:sz w:val="22"/>
                <w:szCs w:val="22"/>
              </w:rPr>
              <w:t>l</w:t>
            </w:r>
            <w:r w:rsidRPr="00EF30A0">
              <w:rPr>
                <w:sz w:val="22"/>
                <w:szCs w:val="22"/>
              </w:rPr>
              <w:t xml:space="preserve">ung disease (ILD) is the major cause of mortality in patients with </w:t>
            </w:r>
            <w:r w:rsidR="007A1ECE">
              <w:rPr>
                <w:sz w:val="22"/>
                <w:szCs w:val="22"/>
              </w:rPr>
              <w:t>i</w:t>
            </w:r>
            <w:r w:rsidRPr="00EF30A0">
              <w:rPr>
                <w:sz w:val="22"/>
                <w:szCs w:val="22"/>
              </w:rPr>
              <w:t xml:space="preserve">diopathic </w:t>
            </w:r>
            <w:r w:rsidR="007A1ECE">
              <w:rPr>
                <w:sz w:val="22"/>
                <w:szCs w:val="22"/>
              </w:rPr>
              <w:t>i</w:t>
            </w:r>
            <w:r w:rsidRPr="00EF30A0">
              <w:rPr>
                <w:sz w:val="22"/>
                <w:szCs w:val="22"/>
              </w:rPr>
              <w:t xml:space="preserve">nflammatory </w:t>
            </w:r>
            <w:r w:rsidR="007A1ECE">
              <w:rPr>
                <w:sz w:val="22"/>
                <w:szCs w:val="22"/>
              </w:rPr>
              <w:t>m</w:t>
            </w:r>
            <w:r w:rsidRPr="00EF30A0">
              <w:rPr>
                <w:sz w:val="22"/>
                <w:szCs w:val="22"/>
              </w:rPr>
              <w:t xml:space="preserve">yopathies (IIM) and can be the </w:t>
            </w:r>
            <w:r w:rsidR="00BF5B04">
              <w:rPr>
                <w:sz w:val="22"/>
                <w:szCs w:val="22"/>
              </w:rPr>
              <w:t>main</w:t>
            </w:r>
            <w:r w:rsidRPr="00EF30A0">
              <w:rPr>
                <w:sz w:val="22"/>
                <w:szCs w:val="22"/>
              </w:rPr>
              <w:t xml:space="preserve"> organ manifestation. Despite this, ILD is not included in current classification criteria for IIM. This study aims to describe the </w:t>
            </w:r>
            <w:r w:rsidR="000C42B2">
              <w:rPr>
                <w:sz w:val="22"/>
                <w:szCs w:val="22"/>
              </w:rPr>
              <w:t xml:space="preserve">IIM </w:t>
            </w:r>
            <w:r w:rsidR="00BF5B04">
              <w:rPr>
                <w:sz w:val="22"/>
                <w:szCs w:val="22"/>
              </w:rPr>
              <w:t>cohort</w:t>
            </w:r>
            <w:r w:rsidR="000C42B2">
              <w:rPr>
                <w:sz w:val="22"/>
                <w:szCs w:val="22"/>
              </w:rPr>
              <w:t xml:space="preserve"> </w:t>
            </w:r>
            <w:r w:rsidRPr="00EF30A0">
              <w:rPr>
                <w:sz w:val="22"/>
                <w:szCs w:val="22"/>
              </w:rPr>
              <w:t>in the Australasian ILD registry (AILDR).</w:t>
            </w:r>
          </w:p>
          <w:p w14:paraId="6025C3F0" w14:textId="77777777" w:rsidR="00FC2640" w:rsidRPr="0050053A" w:rsidRDefault="00FC2640" w:rsidP="00FC2640">
            <w:pPr>
              <w:pStyle w:val="Pa12"/>
              <w:rPr>
                <w:rStyle w:val="A4"/>
                <w:bCs/>
              </w:rPr>
            </w:pPr>
          </w:p>
          <w:p w14:paraId="15FCCB43" w14:textId="70E099E8" w:rsidR="00FC2640" w:rsidRPr="00A20C45" w:rsidRDefault="00FC2640" w:rsidP="00A20C45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EF30A0">
              <w:rPr>
                <w:rStyle w:val="A4"/>
                <w:b/>
                <w:bCs/>
              </w:rPr>
              <w:t xml:space="preserve">Methods: </w:t>
            </w:r>
            <w:r w:rsidRPr="00EF30A0">
              <w:rPr>
                <w:sz w:val="22"/>
                <w:szCs w:val="22"/>
              </w:rPr>
              <w:t>Participants from the AILDR were included who had a diagnosis of IIM and/or a positive myositis-specific</w:t>
            </w:r>
            <w:r w:rsidR="008B401F">
              <w:rPr>
                <w:sz w:val="22"/>
                <w:szCs w:val="22"/>
              </w:rPr>
              <w:t xml:space="preserve"> or myositis-associated </w:t>
            </w:r>
            <w:r w:rsidRPr="00EF30A0">
              <w:rPr>
                <w:sz w:val="22"/>
                <w:szCs w:val="22"/>
              </w:rPr>
              <w:t xml:space="preserve">autoantibody. </w:t>
            </w:r>
            <w:r w:rsidR="00A20C45">
              <w:rPr>
                <w:sz w:val="22"/>
                <w:szCs w:val="22"/>
              </w:rPr>
              <w:t>D</w:t>
            </w:r>
            <w:r w:rsidRPr="00EF30A0">
              <w:rPr>
                <w:sz w:val="22"/>
                <w:szCs w:val="22"/>
              </w:rPr>
              <w:t xml:space="preserve">ata on demographics, medical history, investigations </w:t>
            </w:r>
            <w:r w:rsidR="00A20C45">
              <w:rPr>
                <w:sz w:val="22"/>
                <w:szCs w:val="22"/>
              </w:rPr>
              <w:t xml:space="preserve">and management </w:t>
            </w:r>
            <w:r w:rsidRPr="00EF30A0">
              <w:rPr>
                <w:sz w:val="22"/>
                <w:szCs w:val="22"/>
              </w:rPr>
              <w:t>were extracted and reviewed independently by two investigators and then stratified into pre-defined groups based on the likelihood of IIM</w:t>
            </w:r>
            <w:r w:rsidR="00495EFD">
              <w:rPr>
                <w:sz w:val="22"/>
                <w:szCs w:val="22"/>
              </w:rPr>
              <w:t xml:space="preserve">. </w:t>
            </w:r>
            <w:r w:rsidR="006009E8">
              <w:rPr>
                <w:sz w:val="22"/>
                <w:szCs w:val="22"/>
              </w:rPr>
              <w:t>G</w:t>
            </w:r>
            <w:r w:rsidR="006D050E">
              <w:rPr>
                <w:sz w:val="22"/>
                <w:szCs w:val="22"/>
              </w:rPr>
              <w:t>roups were further classified into IIM subtypes (</w:t>
            </w:r>
            <w:r w:rsidR="006D050E" w:rsidRPr="00EF30A0">
              <w:rPr>
                <w:sz w:val="22"/>
                <w:szCs w:val="22"/>
              </w:rPr>
              <w:t>anti-synthetase syndrome</w:t>
            </w:r>
            <w:r w:rsidR="00596994">
              <w:rPr>
                <w:sz w:val="22"/>
                <w:szCs w:val="22"/>
              </w:rPr>
              <w:t xml:space="preserve"> (ASSD)</w:t>
            </w:r>
            <w:r w:rsidR="006D050E">
              <w:rPr>
                <w:sz w:val="22"/>
                <w:szCs w:val="22"/>
              </w:rPr>
              <w:t>, dermatomyositis, i</w:t>
            </w:r>
            <w:r w:rsidR="006D050E" w:rsidRPr="006D050E">
              <w:rPr>
                <w:sz w:val="22"/>
                <w:szCs w:val="22"/>
              </w:rPr>
              <w:t>mmune-</w:t>
            </w:r>
            <w:r w:rsidR="006D050E">
              <w:rPr>
                <w:sz w:val="22"/>
                <w:szCs w:val="22"/>
              </w:rPr>
              <w:t>m</w:t>
            </w:r>
            <w:r w:rsidR="006D050E" w:rsidRPr="006D050E">
              <w:rPr>
                <w:sz w:val="22"/>
                <w:szCs w:val="22"/>
              </w:rPr>
              <w:t xml:space="preserve">ediated </w:t>
            </w:r>
            <w:r w:rsidR="006D050E">
              <w:rPr>
                <w:sz w:val="22"/>
                <w:szCs w:val="22"/>
              </w:rPr>
              <w:t>n</w:t>
            </w:r>
            <w:r w:rsidR="006D050E" w:rsidRPr="006D050E">
              <w:rPr>
                <w:sz w:val="22"/>
                <w:szCs w:val="22"/>
              </w:rPr>
              <w:t>ecroti</w:t>
            </w:r>
            <w:r w:rsidR="006D050E">
              <w:rPr>
                <w:sz w:val="22"/>
                <w:szCs w:val="22"/>
              </w:rPr>
              <w:t>s</w:t>
            </w:r>
            <w:r w:rsidR="006D050E" w:rsidRPr="006D050E">
              <w:rPr>
                <w:sz w:val="22"/>
                <w:szCs w:val="22"/>
              </w:rPr>
              <w:t xml:space="preserve">ing </w:t>
            </w:r>
            <w:r w:rsidR="006D050E">
              <w:rPr>
                <w:sz w:val="22"/>
                <w:szCs w:val="22"/>
              </w:rPr>
              <w:t>m</w:t>
            </w:r>
            <w:r w:rsidR="006D050E" w:rsidRPr="006D050E">
              <w:rPr>
                <w:sz w:val="22"/>
                <w:szCs w:val="22"/>
              </w:rPr>
              <w:t>yopathy</w:t>
            </w:r>
            <w:r w:rsidR="00596994">
              <w:rPr>
                <w:sz w:val="22"/>
                <w:szCs w:val="22"/>
              </w:rPr>
              <w:t xml:space="preserve"> (IMNM)</w:t>
            </w:r>
            <w:r w:rsidR="006D050E">
              <w:rPr>
                <w:sz w:val="22"/>
                <w:szCs w:val="22"/>
              </w:rPr>
              <w:t>, overlap myositis</w:t>
            </w:r>
            <w:r w:rsidR="00596994">
              <w:rPr>
                <w:sz w:val="22"/>
                <w:szCs w:val="22"/>
              </w:rPr>
              <w:t xml:space="preserve"> (OM)</w:t>
            </w:r>
            <w:r w:rsidR="004A3A3B">
              <w:rPr>
                <w:sz w:val="22"/>
                <w:szCs w:val="22"/>
              </w:rPr>
              <w:t xml:space="preserve">, </w:t>
            </w:r>
            <w:r w:rsidR="006D050E">
              <w:rPr>
                <w:sz w:val="22"/>
                <w:szCs w:val="22"/>
              </w:rPr>
              <w:t>polymyositis).</w:t>
            </w:r>
          </w:p>
          <w:p w14:paraId="1E0E83A3" w14:textId="77777777" w:rsidR="00FC2640" w:rsidRPr="00EF30A0" w:rsidRDefault="00FC2640" w:rsidP="00FC2640">
            <w:pPr>
              <w:pStyle w:val="Pa12"/>
              <w:rPr>
                <w:rStyle w:val="A4"/>
                <w:color w:val="auto"/>
              </w:rPr>
            </w:pPr>
          </w:p>
          <w:p w14:paraId="77D6C6FA" w14:textId="5DF6CC14" w:rsidR="00FC2640" w:rsidRPr="00A20C45" w:rsidRDefault="00FC2640" w:rsidP="00A20C45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EF30A0">
              <w:rPr>
                <w:rStyle w:val="A4"/>
                <w:b/>
                <w:bCs/>
              </w:rPr>
              <w:t xml:space="preserve">Results: </w:t>
            </w:r>
            <w:r w:rsidRPr="00EF30A0">
              <w:rPr>
                <w:sz w:val="22"/>
                <w:szCs w:val="22"/>
              </w:rPr>
              <w:t xml:space="preserve">Of the </w:t>
            </w:r>
            <w:r w:rsidR="00CD02F3">
              <w:rPr>
                <w:sz w:val="22"/>
                <w:szCs w:val="22"/>
              </w:rPr>
              <w:t>3193</w:t>
            </w:r>
            <w:r w:rsidRPr="00A10418">
              <w:rPr>
                <w:sz w:val="22"/>
                <w:szCs w:val="22"/>
              </w:rPr>
              <w:t xml:space="preserve"> patients</w:t>
            </w:r>
            <w:r w:rsidRPr="00EF30A0">
              <w:rPr>
                <w:sz w:val="22"/>
                <w:szCs w:val="22"/>
              </w:rPr>
              <w:t xml:space="preserve"> in the AILDR, 241 (</w:t>
            </w:r>
            <w:r w:rsidR="00CD02F3">
              <w:rPr>
                <w:sz w:val="22"/>
                <w:szCs w:val="22"/>
              </w:rPr>
              <w:t>7</w:t>
            </w:r>
            <w:r w:rsidRPr="00EF30A0">
              <w:rPr>
                <w:sz w:val="22"/>
                <w:szCs w:val="22"/>
              </w:rPr>
              <w:t>.</w:t>
            </w:r>
            <w:r w:rsidR="00CD02F3">
              <w:rPr>
                <w:sz w:val="22"/>
                <w:szCs w:val="22"/>
              </w:rPr>
              <w:t>5</w:t>
            </w:r>
            <w:r w:rsidRPr="00EF30A0">
              <w:rPr>
                <w:sz w:val="22"/>
                <w:szCs w:val="22"/>
              </w:rPr>
              <w:t xml:space="preserve">%) with IIM were identified. Mean age was 59.9±14.8 </w:t>
            </w:r>
            <w:r w:rsidR="00286258">
              <w:rPr>
                <w:sz w:val="22"/>
                <w:szCs w:val="22"/>
              </w:rPr>
              <w:t xml:space="preserve">(SD) </w:t>
            </w:r>
            <w:r w:rsidRPr="00EF30A0">
              <w:rPr>
                <w:sz w:val="22"/>
                <w:szCs w:val="22"/>
              </w:rPr>
              <w:t>years and 123 (51.0%) were female.</w:t>
            </w:r>
            <w:r w:rsidR="00495EFD">
              <w:rPr>
                <w:sz w:val="22"/>
                <w:szCs w:val="22"/>
              </w:rPr>
              <w:t xml:space="preserve"> </w:t>
            </w:r>
            <w:r w:rsidR="00D56FED">
              <w:rPr>
                <w:sz w:val="22"/>
                <w:szCs w:val="22"/>
              </w:rPr>
              <w:t>114</w:t>
            </w:r>
            <w:r w:rsidRPr="00EF30A0">
              <w:rPr>
                <w:sz w:val="22"/>
                <w:szCs w:val="22"/>
              </w:rPr>
              <w:t xml:space="preserve"> (</w:t>
            </w:r>
            <w:r w:rsidR="00D56FED">
              <w:rPr>
                <w:sz w:val="22"/>
                <w:szCs w:val="22"/>
              </w:rPr>
              <w:t>47.3%</w:t>
            </w:r>
            <w:r w:rsidR="00E474DC">
              <w:rPr>
                <w:sz w:val="22"/>
                <w:szCs w:val="22"/>
              </w:rPr>
              <w:t>)</w:t>
            </w:r>
            <w:r w:rsidRPr="00EF30A0">
              <w:rPr>
                <w:sz w:val="22"/>
                <w:szCs w:val="22"/>
              </w:rPr>
              <w:t xml:space="preserve"> were considered </w:t>
            </w:r>
            <w:r w:rsidR="00596994">
              <w:rPr>
                <w:sz w:val="22"/>
                <w:szCs w:val="22"/>
              </w:rPr>
              <w:t>ASSD</w:t>
            </w:r>
            <w:r w:rsidRPr="00EF30A0">
              <w:rPr>
                <w:sz w:val="22"/>
                <w:szCs w:val="22"/>
              </w:rPr>
              <w:t xml:space="preserve">, </w:t>
            </w:r>
            <w:r w:rsidR="00D56FED">
              <w:rPr>
                <w:sz w:val="22"/>
                <w:szCs w:val="22"/>
              </w:rPr>
              <w:t>49</w:t>
            </w:r>
            <w:r w:rsidRPr="00EF30A0">
              <w:rPr>
                <w:sz w:val="22"/>
                <w:szCs w:val="22"/>
              </w:rPr>
              <w:t xml:space="preserve"> (</w:t>
            </w:r>
            <w:r w:rsidR="00D56FED">
              <w:rPr>
                <w:sz w:val="22"/>
                <w:szCs w:val="22"/>
              </w:rPr>
              <w:t>20.3%</w:t>
            </w:r>
            <w:r w:rsidRPr="00EF30A0">
              <w:rPr>
                <w:sz w:val="22"/>
                <w:szCs w:val="22"/>
              </w:rPr>
              <w:t xml:space="preserve">) </w:t>
            </w:r>
            <w:r w:rsidR="00596994">
              <w:rPr>
                <w:sz w:val="22"/>
                <w:szCs w:val="22"/>
              </w:rPr>
              <w:t xml:space="preserve">dermatomyositis, </w:t>
            </w:r>
            <w:r w:rsidR="00D56FED">
              <w:rPr>
                <w:sz w:val="22"/>
                <w:szCs w:val="22"/>
              </w:rPr>
              <w:t>4</w:t>
            </w:r>
            <w:r w:rsidRPr="00EF30A0">
              <w:rPr>
                <w:sz w:val="22"/>
                <w:szCs w:val="22"/>
              </w:rPr>
              <w:t xml:space="preserve"> (</w:t>
            </w:r>
            <w:r w:rsidR="00D56FED">
              <w:rPr>
                <w:sz w:val="22"/>
                <w:szCs w:val="22"/>
              </w:rPr>
              <w:t>1.7%</w:t>
            </w:r>
            <w:r w:rsidRPr="00EF30A0">
              <w:rPr>
                <w:sz w:val="22"/>
                <w:szCs w:val="22"/>
              </w:rPr>
              <w:t xml:space="preserve">) </w:t>
            </w:r>
            <w:r w:rsidR="00596994">
              <w:rPr>
                <w:sz w:val="22"/>
                <w:szCs w:val="22"/>
              </w:rPr>
              <w:t xml:space="preserve">IMNM, </w:t>
            </w:r>
            <w:r w:rsidR="00D56FED">
              <w:rPr>
                <w:sz w:val="22"/>
                <w:szCs w:val="22"/>
              </w:rPr>
              <w:t xml:space="preserve">52 (21.6%) </w:t>
            </w:r>
            <w:r w:rsidR="00596994">
              <w:rPr>
                <w:sz w:val="22"/>
                <w:szCs w:val="22"/>
              </w:rPr>
              <w:t xml:space="preserve">OM and </w:t>
            </w:r>
            <w:r w:rsidR="0002116A">
              <w:rPr>
                <w:sz w:val="22"/>
                <w:szCs w:val="22"/>
              </w:rPr>
              <w:t xml:space="preserve">22 (9.1%) </w:t>
            </w:r>
            <w:r w:rsidR="00596994">
              <w:rPr>
                <w:sz w:val="22"/>
                <w:szCs w:val="22"/>
              </w:rPr>
              <w:t>polymyositis</w:t>
            </w:r>
            <w:r w:rsidRPr="00EF30A0">
              <w:rPr>
                <w:sz w:val="22"/>
                <w:szCs w:val="22"/>
              </w:rPr>
              <w:t xml:space="preserve">. The most common </w:t>
            </w:r>
            <w:r w:rsidR="00D97760">
              <w:rPr>
                <w:sz w:val="22"/>
                <w:szCs w:val="22"/>
              </w:rPr>
              <w:t>autoantibod</w:t>
            </w:r>
            <w:r w:rsidR="000E01D8">
              <w:rPr>
                <w:sz w:val="22"/>
                <w:szCs w:val="22"/>
              </w:rPr>
              <w:t>ies</w:t>
            </w:r>
            <w:r w:rsidRPr="00EF30A0">
              <w:rPr>
                <w:sz w:val="22"/>
                <w:szCs w:val="22"/>
              </w:rPr>
              <w:t xml:space="preserve"> w</w:t>
            </w:r>
            <w:r w:rsidR="000E01D8">
              <w:rPr>
                <w:sz w:val="22"/>
                <w:szCs w:val="22"/>
              </w:rPr>
              <w:t>ere</w:t>
            </w:r>
            <w:r w:rsidRPr="00EF30A0">
              <w:rPr>
                <w:sz w:val="22"/>
                <w:szCs w:val="22"/>
              </w:rPr>
              <w:t xml:space="preserve"> anti-Jo1 (18.3%)</w:t>
            </w:r>
            <w:r w:rsidR="000E01D8">
              <w:rPr>
                <w:sz w:val="22"/>
                <w:szCs w:val="22"/>
              </w:rPr>
              <w:t xml:space="preserve">, </w:t>
            </w:r>
            <w:r w:rsidRPr="00EF30A0">
              <w:rPr>
                <w:sz w:val="22"/>
                <w:szCs w:val="22"/>
              </w:rPr>
              <w:t>anti-PL7 (14.9%)</w:t>
            </w:r>
            <w:r w:rsidR="00272183">
              <w:rPr>
                <w:sz w:val="22"/>
                <w:szCs w:val="22"/>
              </w:rPr>
              <w:t xml:space="preserve"> and</w:t>
            </w:r>
            <w:r w:rsidRPr="00EF30A0">
              <w:rPr>
                <w:sz w:val="22"/>
                <w:szCs w:val="22"/>
              </w:rPr>
              <w:t xml:space="preserve"> anti-PM/Scl75 (13.3%)</w:t>
            </w:r>
            <w:r w:rsidR="00272183">
              <w:rPr>
                <w:sz w:val="22"/>
                <w:szCs w:val="22"/>
              </w:rPr>
              <w:t xml:space="preserve">. </w:t>
            </w:r>
            <w:r w:rsidR="00C027DF">
              <w:rPr>
                <w:sz w:val="22"/>
                <w:szCs w:val="22"/>
              </w:rPr>
              <w:t>Autoa</w:t>
            </w:r>
            <w:r w:rsidR="0087645E">
              <w:rPr>
                <w:sz w:val="22"/>
                <w:szCs w:val="22"/>
              </w:rPr>
              <w:t>ntibody p</w:t>
            </w:r>
            <w:r w:rsidR="00272183">
              <w:rPr>
                <w:sz w:val="22"/>
                <w:szCs w:val="22"/>
              </w:rPr>
              <w:t>revalence within IIM subtypes is conveyed in Figure 1</w:t>
            </w:r>
            <w:r w:rsidRPr="00EF30A0">
              <w:rPr>
                <w:sz w:val="22"/>
                <w:szCs w:val="22"/>
              </w:rPr>
              <w:t>.</w:t>
            </w:r>
            <w:r w:rsidR="00EF3772">
              <w:rPr>
                <w:sz w:val="22"/>
                <w:szCs w:val="22"/>
              </w:rPr>
              <w:t xml:space="preserve"> </w:t>
            </w:r>
            <w:r w:rsidR="00F064F1">
              <w:rPr>
                <w:sz w:val="22"/>
                <w:szCs w:val="22"/>
              </w:rPr>
              <w:t xml:space="preserve">Regarding </w:t>
            </w:r>
            <w:r w:rsidR="00974870">
              <w:rPr>
                <w:sz w:val="22"/>
                <w:szCs w:val="22"/>
              </w:rPr>
              <w:t xml:space="preserve">respiratory </w:t>
            </w:r>
            <w:r w:rsidR="00F064F1">
              <w:rPr>
                <w:sz w:val="22"/>
                <w:szCs w:val="22"/>
              </w:rPr>
              <w:t>symptoms, d</w:t>
            </w:r>
            <w:r w:rsidR="006C0F7B">
              <w:rPr>
                <w:sz w:val="22"/>
                <w:szCs w:val="22"/>
              </w:rPr>
              <w:t xml:space="preserve">yspnoea </w:t>
            </w:r>
            <w:r w:rsidR="00F064F1">
              <w:rPr>
                <w:sz w:val="22"/>
                <w:szCs w:val="22"/>
              </w:rPr>
              <w:t xml:space="preserve">(n=149) </w:t>
            </w:r>
            <w:r w:rsidR="00611995">
              <w:rPr>
                <w:sz w:val="22"/>
                <w:szCs w:val="22"/>
              </w:rPr>
              <w:t>and</w:t>
            </w:r>
            <w:r w:rsidR="006C0F7B">
              <w:rPr>
                <w:sz w:val="22"/>
                <w:szCs w:val="22"/>
              </w:rPr>
              <w:t xml:space="preserve"> cough</w:t>
            </w:r>
            <w:r w:rsidR="00F064F1">
              <w:rPr>
                <w:sz w:val="22"/>
                <w:szCs w:val="22"/>
              </w:rPr>
              <w:t xml:space="preserve"> (n=</w:t>
            </w:r>
            <w:r w:rsidR="003F3D14">
              <w:rPr>
                <w:sz w:val="22"/>
                <w:szCs w:val="22"/>
              </w:rPr>
              <w:t>115</w:t>
            </w:r>
            <w:r w:rsidR="00F064F1">
              <w:rPr>
                <w:sz w:val="22"/>
                <w:szCs w:val="22"/>
              </w:rPr>
              <w:t>)</w:t>
            </w:r>
            <w:r w:rsidR="00611995">
              <w:rPr>
                <w:sz w:val="22"/>
                <w:szCs w:val="22"/>
              </w:rPr>
              <w:t xml:space="preserve"> were recorded most</w:t>
            </w:r>
            <w:r w:rsidR="006C0F7B">
              <w:rPr>
                <w:sz w:val="22"/>
                <w:szCs w:val="22"/>
              </w:rPr>
              <w:t xml:space="preserve">. </w:t>
            </w:r>
            <w:r w:rsidR="00152AC6" w:rsidRPr="00152AC6">
              <w:rPr>
                <w:sz w:val="22"/>
                <w:szCs w:val="22"/>
              </w:rPr>
              <w:t xml:space="preserve">GORD/dysphagia </w:t>
            </w:r>
            <w:r w:rsidR="00BA2E6E">
              <w:rPr>
                <w:sz w:val="22"/>
                <w:szCs w:val="22"/>
              </w:rPr>
              <w:t>was</w:t>
            </w:r>
            <w:r w:rsidR="00152AC6" w:rsidRPr="00152AC6">
              <w:rPr>
                <w:sz w:val="22"/>
                <w:szCs w:val="22"/>
              </w:rPr>
              <w:t xml:space="preserve"> the </w:t>
            </w:r>
            <w:r w:rsidR="000E01D8">
              <w:rPr>
                <w:sz w:val="22"/>
                <w:szCs w:val="22"/>
              </w:rPr>
              <w:t>commonest</w:t>
            </w:r>
            <w:r w:rsidR="00BA2E6E">
              <w:rPr>
                <w:sz w:val="22"/>
                <w:szCs w:val="22"/>
              </w:rPr>
              <w:t xml:space="preserve"> extrapulmonary feature</w:t>
            </w:r>
            <w:r w:rsidR="00152AC6" w:rsidRPr="00152AC6">
              <w:rPr>
                <w:sz w:val="22"/>
                <w:szCs w:val="22"/>
              </w:rPr>
              <w:t xml:space="preserve"> (</w:t>
            </w:r>
            <w:r w:rsidR="00152AC6">
              <w:rPr>
                <w:sz w:val="22"/>
                <w:szCs w:val="22"/>
              </w:rPr>
              <w:t>n=</w:t>
            </w:r>
            <w:r w:rsidR="00152AC6" w:rsidRPr="00152AC6">
              <w:rPr>
                <w:sz w:val="22"/>
                <w:szCs w:val="22"/>
              </w:rPr>
              <w:t>63) followed by rash/skin changes (</w:t>
            </w:r>
            <w:r w:rsidR="00152AC6">
              <w:rPr>
                <w:sz w:val="22"/>
                <w:szCs w:val="22"/>
              </w:rPr>
              <w:t>n=</w:t>
            </w:r>
            <w:r w:rsidR="00152AC6" w:rsidRPr="00152AC6">
              <w:rPr>
                <w:sz w:val="22"/>
                <w:szCs w:val="22"/>
              </w:rPr>
              <w:t>37)</w:t>
            </w:r>
            <w:r w:rsidR="009E1451">
              <w:rPr>
                <w:sz w:val="22"/>
                <w:szCs w:val="22"/>
              </w:rPr>
              <w:t xml:space="preserve">, </w:t>
            </w:r>
            <w:r w:rsidR="005B2D0C">
              <w:rPr>
                <w:sz w:val="22"/>
                <w:szCs w:val="22"/>
              </w:rPr>
              <w:t xml:space="preserve">and </w:t>
            </w:r>
            <w:r w:rsidR="00152AC6" w:rsidRPr="00152AC6">
              <w:rPr>
                <w:sz w:val="22"/>
                <w:szCs w:val="22"/>
              </w:rPr>
              <w:t>Raynaud's phenomenon (</w:t>
            </w:r>
            <w:r w:rsidR="00152AC6">
              <w:rPr>
                <w:sz w:val="22"/>
                <w:szCs w:val="22"/>
              </w:rPr>
              <w:t>n=</w:t>
            </w:r>
            <w:r w:rsidR="00152AC6" w:rsidRPr="00152AC6">
              <w:rPr>
                <w:sz w:val="22"/>
                <w:szCs w:val="22"/>
              </w:rPr>
              <w:t>33)</w:t>
            </w:r>
            <w:r w:rsidR="00045981">
              <w:rPr>
                <w:sz w:val="22"/>
                <w:szCs w:val="22"/>
              </w:rPr>
              <w:t>.</w:t>
            </w:r>
            <w:r w:rsidR="009E1451">
              <w:rPr>
                <w:sz w:val="22"/>
                <w:szCs w:val="22"/>
              </w:rPr>
              <w:t xml:space="preserve"> </w:t>
            </w:r>
            <w:r w:rsidR="00D62FCC">
              <w:rPr>
                <w:sz w:val="22"/>
                <w:szCs w:val="22"/>
              </w:rPr>
              <w:t>Regarding</w:t>
            </w:r>
            <w:r w:rsidRPr="00EF30A0">
              <w:rPr>
                <w:sz w:val="22"/>
                <w:szCs w:val="22"/>
              </w:rPr>
              <w:t xml:space="preserve"> management, 147 records noted the use of an immunomodulator</w:t>
            </w:r>
            <w:r w:rsidR="002952BE">
              <w:rPr>
                <w:sz w:val="22"/>
                <w:szCs w:val="22"/>
              </w:rPr>
              <w:t>,</w:t>
            </w:r>
            <w:r w:rsidR="00FB6107">
              <w:rPr>
                <w:sz w:val="22"/>
                <w:szCs w:val="22"/>
              </w:rPr>
              <w:t xml:space="preserve"> </w:t>
            </w:r>
            <w:r w:rsidR="00552AE7">
              <w:rPr>
                <w:sz w:val="22"/>
                <w:szCs w:val="22"/>
              </w:rPr>
              <w:t>particularly</w:t>
            </w:r>
            <w:r w:rsidR="00FB6107">
              <w:rPr>
                <w:sz w:val="22"/>
                <w:szCs w:val="22"/>
              </w:rPr>
              <w:t xml:space="preserve"> </w:t>
            </w:r>
            <w:r w:rsidR="00E11383">
              <w:rPr>
                <w:sz w:val="22"/>
                <w:szCs w:val="22"/>
              </w:rPr>
              <w:t>for</w:t>
            </w:r>
            <w:r w:rsidR="00FB6107">
              <w:rPr>
                <w:sz w:val="22"/>
                <w:szCs w:val="22"/>
              </w:rPr>
              <w:t xml:space="preserve"> ASSD</w:t>
            </w:r>
            <w:r w:rsidR="00153DAC">
              <w:rPr>
                <w:sz w:val="22"/>
                <w:szCs w:val="22"/>
              </w:rPr>
              <w:t xml:space="preserve"> (</w:t>
            </w:r>
            <w:r w:rsidR="00852C1B">
              <w:rPr>
                <w:sz w:val="22"/>
                <w:szCs w:val="22"/>
              </w:rPr>
              <w:t>n=</w:t>
            </w:r>
            <w:r w:rsidR="00AB6404">
              <w:rPr>
                <w:sz w:val="22"/>
                <w:szCs w:val="22"/>
              </w:rPr>
              <w:t>73</w:t>
            </w:r>
            <w:r w:rsidR="00852C1B">
              <w:rPr>
                <w:sz w:val="22"/>
                <w:szCs w:val="22"/>
              </w:rPr>
              <w:t xml:space="preserve">, </w:t>
            </w:r>
            <w:r w:rsidR="00153DAC">
              <w:rPr>
                <w:sz w:val="22"/>
                <w:szCs w:val="22"/>
              </w:rPr>
              <w:t>64.0%</w:t>
            </w:r>
            <w:r w:rsidR="00C52DC6">
              <w:rPr>
                <w:sz w:val="22"/>
                <w:szCs w:val="22"/>
              </w:rPr>
              <w:t xml:space="preserve"> of</w:t>
            </w:r>
            <w:r w:rsidR="009B1738">
              <w:rPr>
                <w:sz w:val="22"/>
                <w:szCs w:val="22"/>
              </w:rPr>
              <w:t xml:space="preserve"> </w:t>
            </w:r>
            <w:r w:rsidR="009B1738">
              <w:rPr>
                <w:sz w:val="22"/>
                <w:szCs w:val="22"/>
              </w:rPr>
              <w:t>subtype</w:t>
            </w:r>
            <w:r w:rsidR="00153DAC">
              <w:rPr>
                <w:sz w:val="22"/>
                <w:szCs w:val="22"/>
              </w:rPr>
              <w:t>)</w:t>
            </w:r>
            <w:r w:rsidR="00FB6107">
              <w:rPr>
                <w:sz w:val="22"/>
                <w:szCs w:val="22"/>
              </w:rPr>
              <w:t xml:space="preserve">. </w:t>
            </w:r>
            <w:r w:rsidRPr="00EF30A0">
              <w:rPr>
                <w:sz w:val="22"/>
                <w:szCs w:val="22"/>
              </w:rPr>
              <w:t xml:space="preserve">33 noted anti-fibrotic </w:t>
            </w:r>
            <w:r w:rsidR="00FB6107">
              <w:rPr>
                <w:sz w:val="22"/>
                <w:szCs w:val="22"/>
              </w:rPr>
              <w:t>use, most frequent</w:t>
            </w:r>
            <w:r w:rsidR="00B22649">
              <w:rPr>
                <w:sz w:val="22"/>
                <w:szCs w:val="22"/>
              </w:rPr>
              <w:t>ly</w:t>
            </w:r>
            <w:r w:rsidR="00FB6107">
              <w:rPr>
                <w:sz w:val="22"/>
                <w:szCs w:val="22"/>
              </w:rPr>
              <w:t xml:space="preserve"> </w:t>
            </w:r>
            <w:r w:rsidR="00B22649">
              <w:rPr>
                <w:sz w:val="22"/>
                <w:szCs w:val="22"/>
              </w:rPr>
              <w:t>for</w:t>
            </w:r>
            <w:r w:rsidR="00FB6107">
              <w:rPr>
                <w:sz w:val="22"/>
                <w:szCs w:val="22"/>
              </w:rPr>
              <w:t xml:space="preserve"> </w:t>
            </w:r>
            <w:r w:rsidR="00B22649">
              <w:rPr>
                <w:sz w:val="22"/>
                <w:szCs w:val="22"/>
              </w:rPr>
              <w:t xml:space="preserve">dermatomyositis </w:t>
            </w:r>
            <w:r w:rsidR="00FB6107">
              <w:rPr>
                <w:sz w:val="22"/>
                <w:szCs w:val="22"/>
              </w:rPr>
              <w:t>(</w:t>
            </w:r>
            <w:r w:rsidR="00852C1B">
              <w:rPr>
                <w:sz w:val="22"/>
                <w:szCs w:val="22"/>
              </w:rPr>
              <w:t>n=</w:t>
            </w:r>
            <w:r w:rsidR="00AB6404">
              <w:rPr>
                <w:sz w:val="22"/>
                <w:szCs w:val="22"/>
              </w:rPr>
              <w:t>11</w:t>
            </w:r>
            <w:r w:rsidR="00852C1B">
              <w:rPr>
                <w:sz w:val="22"/>
                <w:szCs w:val="22"/>
              </w:rPr>
              <w:t>,</w:t>
            </w:r>
            <w:r w:rsidR="00AB6404">
              <w:rPr>
                <w:sz w:val="22"/>
                <w:szCs w:val="22"/>
              </w:rPr>
              <w:t xml:space="preserve"> </w:t>
            </w:r>
            <w:r w:rsidR="00FB6107">
              <w:rPr>
                <w:sz w:val="22"/>
                <w:szCs w:val="22"/>
              </w:rPr>
              <w:t>22.4%</w:t>
            </w:r>
            <w:r w:rsidR="00C52DC6">
              <w:rPr>
                <w:sz w:val="22"/>
                <w:szCs w:val="22"/>
              </w:rPr>
              <w:t xml:space="preserve"> of </w:t>
            </w:r>
            <w:r w:rsidR="009B1738">
              <w:rPr>
                <w:sz w:val="22"/>
                <w:szCs w:val="22"/>
              </w:rPr>
              <w:t>subtype</w:t>
            </w:r>
            <w:r w:rsidR="00FB6107">
              <w:rPr>
                <w:sz w:val="22"/>
                <w:szCs w:val="22"/>
              </w:rPr>
              <w:t>)</w:t>
            </w:r>
            <w:r w:rsidR="003C0F18">
              <w:rPr>
                <w:sz w:val="22"/>
                <w:szCs w:val="22"/>
              </w:rPr>
              <w:t>.</w:t>
            </w:r>
            <w:r w:rsidR="00201843">
              <w:rPr>
                <w:sz w:val="22"/>
                <w:szCs w:val="22"/>
              </w:rPr>
              <w:t xml:space="preserve"> </w:t>
            </w:r>
            <w:r w:rsidR="00552AE7">
              <w:rPr>
                <w:sz w:val="22"/>
                <w:szCs w:val="22"/>
              </w:rPr>
              <w:t>12</w:t>
            </w:r>
            <w:r w:rsidR="00201843">
              <w:rPr>
                <w:sz w:val="22"/>
                <w:szCs w:val="22"/>
              </w:rPr>
              <w:t xml:space="preserve"> were on</w:t>
            </w:r>
            <w:r w:rsidR="00552AE7">
              <w:rPr>
                <w:sz w:val="22"/>
                <w:szCs w:val="22"/>
              </w:rPr>
              <w:t xml:space="preserve"> combin</w:t>
            </w:r>
            <w:r w:rsidR="00201843">
              <w:rPr>
                <w:sz w:val="22"/>
                <w:szCs w:val="22"/>
              </w:rPr>
              <w:t>ed</w:t>
            </w:r>
            <w:r w:rsidR="00552AE7">
              <w:rPr>
                <w:sz w:val="22"/>
                <w:szCs w:val="22"/>
              </w:rPr>
              <w:t xml:space="preserve"> immunomodulator and anti-fibrotic therapy. </w:t>
            </w:r>
            <w:r w:rsidR="0088484F">
              <w:rPr>
                <w:sz w:val="22"/>
                <w:szCs w:val="22"/>
              </w:rPr>
              <w:t>O</w:t>
            </w:r>
            <w:r w:rsidR="005B2D0C">
              <w:rPr>
                <w:sz w:val="22"/>
                <w:szCs w:val="22"/>
              </w:rPr>
              <w:t xml:space="preserve">xygen </w:t>
            </w:r>
            <w:r w:rsidR="009D07A6">
              <w:rPr>
                <w:sz w:val="22"/>
                <w:szCs w:val="22"/>
              </w:rPr>
              <w:t xml:space="preserve">therapy </w:t>
            </w:r>
            <w:r w:rsidR="005B2D0C">
              <w:rPr>
                <w:sz w:val="22"/>
                <w:szCs w:val="22"/>
              </w:rPr>
              <w:t xml:space="preserve">was </w:t>
            </w:r>
            <w:r w:rsidR="0088484F">
              <w:rPr>
                <w:sz w:val="22"/>
                <w:szCs w:val="22"/>
              </w:rPr>
              <w:t>used</w:t>
            </w:r>
            <w:r w:rsidR="005B2D0C">
              <w:rPr>
                <w:sz w:val="22"/>
                <w:szCs w:val="22"/>
              </w:rPr>
              <w:t xml:space="preserve"> </w:t>
            </w:r>
            <w:r w:rsidR="00A3394C">
              <w:rPr>
                <w:sz w:val="22"/>
                <w:szCs w:val="22"/>
              </w:rPr>
              <w:t>in 60 records (24.9%) including 30 with</w:t>
            </w:r>
            <w:r w:rsidR="005B2D0C">
              <w:rPr>
                <w:sz w:val="22"/>
                <w:szCs w:val="22"/>
              </w:rPr>
              <w:t xml:space="preserve"> </w:t>
            </w:r>
            <w:r w:rsidR="00FB1103">
              <w:rPr>
                <w:sz w:val="22"/>
                <w:szCs w:val="22"/>
              </w:rPr>
              <w:t>ASSD</w:t>
            </w:r>
            <w:r w:rsidR="00A3394C">
              <w:rPr>
                <w:sz w:val="22"/>
                <w:szCs w:val="22"/>
              </w:rPr>
              <w:t xml:space="preserve">, 8 dermatomyositis and 12 </w:t>
            </w:r>
            <w:r w:rsidR="008A72A9">
              <w:rPr>
                <w:sz w:val="22"/>
                <w:szCs w:val="22"/>
              </w:rPr>
              <w:t>OM</w:t>
            </w:r>
            <w:r w:rsidR="00A3394C">
              <w:rPr>
                <w:sz w:val="22"/>
                <w:szCs w:val="22"/>
              </w:rPr>
              <w:t>.</w:t>
            </w:r>
            <w:r w:rsidR="006452D2">
              <w:rPr>
                <w:sz w:val="22"/>
                <w:szCs w:val="22"/>
              </w:rPr>
              <w:t xml:space="preserve"> </w:t>
            </w:r>
          </w:p>
          <w:p w14:paraId="059C56CA" w14:textId="3EC7E566" w:rsidR="00FC2640" w:rsidRPr="0050053A" w:rsidRDefault="00FC2640" w:rsidP="00FC2640">
            <w:pPr>
              <w:pStyle w:val="Pa12"/>
              <w:rPr>
                <w:rStyle w:val="A4"/>
                <w:bCs/>
              </w:rPr>
            </w:pPr>
          </w:p>
          <w:p w14:paraId="30A36EA3" w14:textId="1D9C4CF3" w:rsidR="009703BD" w:rsidRPr="00A20C45" w:rsidRDefault="00FC2640" w:rsidP="00A20C45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EF30A0">
              <w:rPr>
                <w:rStyle w:val="A4"/>
                <w:b/>
                <w:bCs/>
              </w:rPr>
              <w:t xml:space="preserve">Conclusion: </w:t>
            </w:r>
            <w:r w:rsidRPr="00EF30A0">
              <w:rPr>
                <w:sz w:val="22"/>
                <w:szCs w:val="22"/>
              </w:rPr>
              <w:t xml:space="preserve">IIM accounts for </w:t>
            </w:r>
            <w:r w:rsidR="00A20C45">
              <w:rPr>
                <w:sz w:val="22"/>
                <w:szCs w:val="22"/>
              </w:rPr>
              <w:t>7</w:t>
            </w:r>
            <w:r w:rsidRPr="00EF30A0">
              <w:rPr>
                <w:sz w:val="22"/>
                <w:szCs w:val="22"/>
              </w:rPr>
              <w:t>.</w:t>
            </w:r>
            <w:r w:rsidR="00A20C45">
              <w:rPr>
                <w:sz w:val="22"/>
                <w:szCs w:val="22"/>
              </w:rPr>
              <w:t>5</w:t>
            </w:r>
            <w:r w:rsidRPr="00EF30A0">
              <w:rPr>
                <w:sz w:val="22"/>
                <w:szCs w:val="22"/>
              </w:rPr>
              <w:t xml:space="preserve">% of cases in the AILDR. Although similarities exist between these patients and other cohorts described, there appear to be differing proportions of certain IIM subtypes, </w:t>
            </w:r>
            <w:r w:rsidR="00076842">
              <w:rPr>
                <w:sz w:val="22"/>
                <w:szCs w:val="22"/>
              </w:rPr>
              <w:t>auto</w:t>
            </w:r>
            <w:r w:rsidRPr="00EF30A0">
              <w:rPr>
                <w:sz w:val="22"/>
                <w:szCs w:val="22"/>
              </w:rPr>
              <w:t>antibody profiles, clinical features and management.</w:t>
            </w:r>
          </w:p>
          <w:p w14:paraId="518B2A4E" w14:textId="77777777" w:rsidR="00BF5B04" w:rsidRDefault="00FC2640" w:rsidP="00FC2640">
            <w:pPr>
              <w:pStyle w:val="Pa12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EF30A0">
              <w:rPr>
                <w:rStyle w:val="A4"/>
                <w:b/>
                <w:bCs/>
              </w:rPr>
              <w:t xml:space="preserve">Grant Support: </w:t>
            </w:r>
            <w:r w:rsidR="00D9511E" w:rsidRPr="00D9511E">
              <w:rPr>
                <w:sz w:val="22"/>
                <w:szCs w:val="22"/>
                <w:lang w:val="en-GB"/>
              </w:rPr>
              <w:t>This project was supported by the Centre of Research Excellence in Pulmonary Fibrosis which is funded by the NHMRC (GNT1116371 and GNT2015613), Lung Foundation Australia, Boehringer Ingelheim, and anonymous philanthropy.</w:t>
            </w:r>
            <w:r>
              <w:rPr>
                <w:sz w:val="22"/>
                <w:szCs w:val="22"/>
              </w:rPr>
              <w:br/>
            </w:r>
          </w:p>
          <w:p w14:paraId="6D54AAB0" w14:textId="5F36BA05" w:rsidR="00FC2640" w:rsidRPr="00BF5B04" w:rsidRDefault="007A1ECE" w:rsidP="00FC2640">
            <w:pPr>
              <w:pStyle w:val="Pa12"/>
              <w:rPr>
                <w:sz w:val="22"/>
                <w:szCs w:val="22"/>
                <w:lang w:val="en-GB"/>
              </w:rPr>
            </w:pPr>
            <w:r w:rsidRPr="007A1ECE">
              <w:rPr>
                <w:b/>
                <w:bCs/>
                <w:i/>
                <w:iCs/>
                <w:sz w:val="22"/>
                <w:szCs w:val="22"/>
              </w:rPr>
              <w:t>Key Words:</w:t>
            </w:r>
            <w:r w:rsidRPr="007A1ECE">
              <w:rPr>
                <w:i/>
                <w:iCs/>
                <w:sz w:val="22"/>
                <w:szCs w:val="22"/>
              </w:rPr>
              <w:t xml:space="preserve"> </w:t>
            </w:r>
            <w:r w:rsidRPr="007A1ECE">
              <w:rPr>
                <w:i/>
                <w:iCs/>
                <w:sz w:val="22"/>
                <w:szCs w:val="22"/>
              </w:rPr>
              <w:t xml:space="preserve">idiopathic inflammatory </w:t>
            </w:r>
            <w:r w:rsidRPr="009665B5">
              <w:rPr>
                <w:i/>
                <w:iCs/>
                <w:sz w:val="22"/>
                <w:szCs w:val="22"/>
              </w:rPr>
              <w:t>myopath</w:t>
            </w:r>
            <w:r w:rsidRPr="009665B5">
              <w:rPr>
                <w:i/>
                <w:iCs/>
                <w:sz w:val="22"/>
                <w:szCs w:val="22"/>
              </w:rPr>
              <w:t>y, i</w:t>
            </w:r>
            <w:r w:rsidRPr="009665B5">
              <w:rPr>
                <w:i/>
                <w:iCs/>
                <w:sz w:val="22"/>
                <w:szCs w:val="22"/>
              </w:rPr>
              <w:t>nterstitial lung dise</w:t>
            </w:r>
            <w:r w:rsidRPr="009665B5">
              <w:rPr>
                <w:i/>
                <w:iCs/>
                <w:sz w:val="22"/>
                <w:szCs w:val="22"/>
              </w:rPr>
              <w:t xml:space="preserve">ase, </w:t>
            </w:r>
            <w:r w:rsidR="009665B5" w:rsidRPr="009665B5">
              <w:rPr>
                <w:i/>
                <w:iCs/>
                <w:sz w:val="22"/>
                <w:szCs w:val="22"/>
              </w:rPr>
              <w:t>anti-synthetase syndrome, dermatomyositis</w:t>
            </w:r>
            <w:r w:rsidR="009665B5" w:rsidRPr="009665B5">
              <w:rPr>
                <w:i/>
                <w:iCs/>
                <w:sz w:val="22"/>
                <w:szCs w:val="22"/>
              </w:rPr>
              <w:t>, overlap myositis</w:t>
            </w:r>
            <w:r w:rsidR="009665B5" w:rsidRPr="009665B5">
              <w:rPr>
                <w:i/>
                <w:iCs/>
                <w:sz w:val="22"/>
                <w:szCs w:val="22"/>
              </w:rPr>
              <w:t xml:space="preserve">, </w:t>
            </w:r>
            <w:r w:rsidR="009665B5" w:rsidRPr="009665B5">
              <w:rPr>
                <w:i/>
                <w:iCs/>
                <w:sz w:val="22"/>
                <w:szCs w:val="22"/>
              </w:rPr>
              <w:t>polymyositis</w:t>
            </w:r>
            <w:r w:rsidR="009665B5" w:rsidRPr="007A1ECE">
              <w:rPr>
                <w:sz w:val="22"/>
                <w:szCs w:val="22"/>
              </w:rPr>
              <w:t xml:space="preserve"> </w:t>
            </w:r>
            <w:r w:rsidR="00FC2640" w:rsidRPr="007A1ECE">
              <w:rPr>
                <w:sz w:val="22"/>
                <w:szCs w:val="22"/>
              </w:rPr>
              <w:br/>
            </w:r>
            <w:r w:rsidR="00FC2640">
              <w:rPr>
                <w:sz w:val="22"/>
                <w:szCs w:val="22"/>
              </w:rPr>
              <w:br/>
            </w:r>
            <w:r w:rsidR="00FC2640">
              <w:rPr>
                <w:sz w:val="22"/>
                <w:szCs w:val="22"/>
              </w:rPr>
              <w:br/>
            </w:r>
            <w:r w:rsidR="00FC2640">
              <w:rPr>
                <w:sz w:val="22"/>
                <w:szCs w:val="22"/>
              </w:rPr>
              <w:br/>
            </w:r>
            <w:r w:rsidR="00FC2640">
              <w:rPr>
                <w:sz w:val="22"/>
                <w:szCs w:val="22"/>
              </w:rPr>
              <w:br/>
            </w:r>
            <w:r w:rsidR="00FC2640">
              <w:rPr>
                <w:sz w:val="22"/>
                <w:szCs w:val="22"/>
              </w:rPr>
              <w:br/>
            </w:r>
            <w:r w:rsidR="00FC2640">
              <w:rPr>
                <w:sz w:val="22"/>
                <w:szCs w:val="22"/>
              </w:rPr>
              <w:br/>
            </w:r>
          </w:p>
          <w:p w14:paraId="642512B4" w14:textId="77777777" w:rsidR="00FC2640" w:rsidRDefault="00FC2640" w:rsidP="00FC2640">
            <w:pPr>
              <w:pStyle w:val="Default"/>
            </w:pPr>
          </w:p>
          <w:p w14:paraId="7D4B6B76" w14:textId="77777777" w:rsidR="00FC2640" w:rsidRPr="003E35F0" w:rsidRDefault="00FC2640" w:rsidP="00FC2640">
            <w:pPr>
              <w:pStyle w:val="Default"/>
            </w:pPr>
          </w:p>
          <w:p w14:paraId="51669988" w14:textId="77777777" w:rsidR="00FC2640" w:rsidRPr="0050053A" w:rsidRDefault="00FC2640" w:rsidP="00FC2640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</w:rPr>
              <w:br/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br/>
            </w:r>
            <w:r>
              <w:rPr>
                <w:rStyle w:val="A4"/>
              </w:rPr>
              <w:br/>
            </w:r>
          </w:p>
          <w:p w14:paraId="681CE66C" w14:textId="77777777" w:rsidR="00FC2640" w:rsidRPr="0050053A" w:rsidRDefault="00FC2640" w:rsidP="00FC2640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54F1E6F9" w14:textId="77777777" w:rsidR="00BF5B04" w:rsidRDefault="00BF5B04" w:rsidP="004A22ED">
      <w:pPr>
        <w:rPr>
          <w:rFonts w:ascii="Arial" w:hAnsi="Arial" w:cs="Arial"/>
          <w:b/>
          <w:bCs/>
          <w:sz w:val="22"/>
          <w:szCs w:val="22"/>
        </w:rPr>
      </w:pPr>
    </w:p>
    <w:p w14:paraId="3CAE0271" w14:textId="570E26C3" w:rsidR="00B84AC2" w:rsidRPr="00B84AC2" w:rsidRDefault="00B84AC2" w:rsidP="004A22ED">
      <w:pPr>
        <w:rPr>
          <w:rFonts w:ascii="Arial" w:hAnsi="Arial" w:cs="Arial"/>
          <w:b/>
          <w:bCs/>
          <w:sz w:val="22"/>
          <w:szCs w:val="22"/>
        </w:rPr>
      </w:pPr>
      <w:r w:rsidRPr="00B84AC2">
        <w:rPr>
          <w:rFonts w:ascii="Arial" w:hAnsi="Arial" w:cs="Arial"/>
          <w:b/>
          <w:bCs/>
          <w:sz w:val="22"/>
          <w:szCs w:val="22"/>
        </w:rPr>
        <w:t>Figure</w:t>
      </w:r>
      <w:r w:rsidR="009534A0">
        <w:rPr>
          <w:rFonts w:ascii="Arial" w:hAnsi="Arial" w:cs="Arial"/>
          <w:b/>
          <w:bCs/>
          <w:sz w:val="22"/>
          <w:szCs w:val="22"/>
        </w:rPr>
        <w:t>s</w:t>
      </w:r>
      <w:r w:rsidRPr="00B84AC2">
        <w:rPr>
          <w:rFonts w:ascii="Arial" w:hAnsi="Arial" w:cs="Arial"/>
          <w:b/>
          <w:bCs/>
          <w:sz w:val="22"/>
          <w:szCs w:val="22"/>
        </w:rPr>
        <w:t>:</w:t>
      </w:r>
    </w:p>
    <w:p w14:paraId="62AA9040" w14:textId="0C98D94B" w:rsidR="004A22ED" w:rsidRDefault="00526CDD" w:rsidP="004A22E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CC4B0" wp14:editId="6ADF0406">
                <wp:simplePos x="0" y="0"/>
                <wp:positionH relativeFrom="column">
                  <wp:posOffset>80173</wp:posOffset>
                </wp:positionH>
                <wp:positionV relativeFrom="paragraph">
                  <wp:posOffset>3375025</wp:posOffset>
                </wp:positionV>
                <wp:extent cx="5750560" cy="578485"/>
                <wp:effectExtent l="0" t="0" r="0" b="0"/>
                <wp:wrapSquare wrapText="bothSides"/>
                <wp:docPr id="9994319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560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0091D" w14:textId="0DECE79B" w:rsidR="004A22ED" w:rsidRPr="00B84AC2" w:rsidRDefault="004A22ED" w:rsidP="004A22E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84A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Figure 1.</w:t>
                            </w:r>
                            <w:r w:rsidRPr="00B84AC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Bar graph showing the distribution of myositis-specific or myositis-associated </w:t>
                            </w:r>
                            <w:r w:rsidR="00C027D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auto</w:t>
                            </w:r>
                            <w:r w:rsidRPr="00B84AC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antibodies among AILDR IIM </w:t>
                            </w:r>
                            <w:r w:rsidR="00B33BE8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subtypes</w:t>
                            </w:r>
                            <w:r w:rsidRPr="00B84AC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(Anti-synthetase syndrome (n=114), Dermatomyositis (n=49)</w:t>
                            </w:r>
                            <w:r w:rsidR="00B84AC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B84AC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Overlap Myositis (n=52)).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CC4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pt;margin-top:265.75pt;width:452.8pt;height:4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" filled="f" stroked="f" strokeweight=".5pt">
                <v:textbox>
                  <w:txbxContent>
                    <w:p w14:paraId="7B40091D" w14:textId="0DECE79B" w:rsidR="004A22ED" w:rsidRPr="00B84AC2" w:rsidRDefault="004A22ED" w:rsidP="004A22ED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B84A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Figure 1.</w:t>
                      </w:r>
                      <w:r w:rsidRPr="00B84AC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Bar graph showing the distribution of myositis-specific or myositis-associated </w:t>
                      </w:r>
                      <w:r w:rsidR="00C027D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auto</w:t>
                      </w:r>
                      <w:r w:rsidRPr="00B84AC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antibodies among AILDR IIM </w:t>
                      </w:r>
                      <w:r w:rsidR="00B33BE8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subtypes</w:t>
                      </w:r>
                      <w:r w:rsidRPr="00B84AC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(Anti-synthetase syndrome (n=114), Dermatomyositis (n=49)</w:t>
                      </w:r>
                      <w:r w:rsidR="00B84AC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and</w:t>
                      </w:r>
                      <w:r w:rsidRPr="00B84AC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Overlap Myositis (n=52)).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A22FDB0" wp14:editId="0E48A037">
            <wp:simplePos x="0" y="0"/>
            <wp:positionH relativeFrom="column">
              <wp:posOffset>98231</wp:posOffset>
            </wp:positionH>
            <wp:positionV relativeFrom="paragraph">
              <wp:posOffset>210820</wp:posOffset>
            </wp:positionV>
            <wp:extent cx="5666740" cy="3157220"/>
            <wp:effectExtent l="0" t="0" r="10160" b="17780"/>
            <wp:wrapTight wrapText="bothSides">
              <wp:wrapPolygon edited="0">
                <wp:start x="0" y="0"/>
                <wp:lineTo x="0" y="21635"/>
                <wp:lineTo x="21590" y="21635"/>
                <wp:lineTo x="21590" y="0"/>
                <wp:lineTo x="0" y="0"/>
              </wp:wrapPolygon>
            </wp:wrapTight>
            <wp:docPr id="17645360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3532569-1FA5-100B-7D93-AB9067EB6D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7C6BC" w14:textId="77777777" w:rsidR="004A22ED" w:rsidRPr="0028123B" w:rsidRDefault="004A22ED" w:rsidP="007A1ECE">
      <w:pPr>
        <w:rPr>
          <w:rFonts w:ascii="Arial" w:hAnsi="Arial" w:cs="Arial"/>
          <w:b/>
          <w:bCs/>
        </w:rPr>
      </w:pPr>
    </w:p>
    <w:sectPr w:rsidR="004A22ED" w:rsidRPr="002812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517E"/>
    <w:multiLevelType w:val="multilevel"/>
    <w:tmpl w:val="1E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01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C0"/>
    <w:rsid w:val="00015488"/>
    <w:rsid w:val="0002116A"/>
    <w:rsid w:val="00024A62"/>
    <w:rsid w:val="00027132"/>
    <w:rsid w:val="000360F2"/>
    <w:rsid w:val="000376F7"/>
    <w:rsid w:val="00045981"/>
    <w:rsid w:val="00060DA2"/>
    <w:rsid w:val="00074299"/>
    <w:rsid w:val="0007592A"/>
    <w:rsid w:val="00076620"/>
    <w:rsid w:val="00076842"/>
    <w:rsid w:val="00090240"/>
    <w:rsid w:val="00090C7A"/>
    <w:rsid w:val="00094730"/>
    <w:rsid w:val="000B0639"/>
    <w:rsid w:val="000B6AB2"/>
    <w:rsid w:val="000C42B2"/>
    <w:rsid w:val="000C4C83"/>
    <w:rsid w:val="000D1BEA"/>
    <w:rsid w:val="000D4BEA"/>
    <w:rsid w:val="000D4F4A"/>
    <w:rsid w:val="000E01D8"/>
    <w:rsid w:val="000E30AA"/>
    <w:rsid w:val="000E4D28"/>
    <w:rsid w:val="000F5FAD"/>
    <w:rsid w:val="001043B1"/>
    <w:rsid w:val="001306B5"/>
    <w:rsid w:val="00133FEE"/>
    <w:rsid w:val="00141C54"/>
    <w:rsid w:val="00141F6C"/>
    <w:rsid w:val="00152AC6"/>
    <w:rsid w:val="00153DAC"/>
    <w:rsid w:val="00175E81"/>
    <w:rsid w:val="001972C0"/>
    <w:rsid w:val="001E77B4"/>
    <w:rsid w:val="00201843"/>
    <w:rsid w:val="00203AC5"/>
    <w:rsid w:val="00205B98"/>
    <w:rsid w:val="00211002"/>
    <w:rsid w:val="0021225E"/>
    <w:rsid w:val="00215FA9"/>
    <w:rsid w:val="0021763C"/>
    <w:rsid w:val="00223F9D"/>
    <w:rsid w:val="00264BF9"/>
    <w:rsid w:val="00272183"/>
    <w:rsid w:val="0028123B"/>
    <w:rsid w:val="00286258"/>
    <w:rsid w:val="002952BE"/>
    <w:rsid w:val="002A2602"/>
    <w:rsid w:val="002B1408"/>
    <w:rsid w:val="002B2FAE"/>
    <w:rsid w:val="002C037E"/>
    <w:rsid w:val="002D60C9"/>
    <w:rsid w:val="002D667E"/>
    <w:rsid w:val="002E45EC"/>
    <w:rsid w:val="002F5627"/>
    <w:rsid w:val="002F5946"/>
    <w:rsid w:val="002F6CDA"/>
    <w:rsid w:val="00310089"/>
    <w:rsid w:val="003151D1"/>
    <w:rsid w:val="003156C1"/>
    <w:rsid w:val="003216D8"/>
    <w:rsid w:val="0032313A"/>
    <w:rsid w:val="00332317"/>
    <w:rsid w:val="003356EA"/>
    <w:rsid w:val="0035351B"/>
    <w:rsid w:val="00383E15"/>
    <w:rsid w:val="00395715"/>
    <w:rsid w:val="003A5AA5"/>
    <w:rsid w:val="003A625C"/>
    <w:rsid w:val="003B1A2E"/>
    <w:rsid w:val="003C0F18"/>
    <w:rsid w:val="003D5222"/>
    <w:rsid w:val="003F3D14"/>
    <w:rsid w:val="0040240C"/>
    <w:rsid w:val="00410CCC"/>
    <w:rsid w:val="00416AFC"/>
    <w:rsid w:val="00420647"/>
    <w:rsid w:val="004235EF"/>
    <w:rsid w:val="00434A77"/>
    <w:rsid w:val="00435ABA"/>
    <w:rsid w:val="00447AB8"/>
    <w:rsid w:val="004521C1"/>
    <w:rsid w:val="00456F0B"/>
    <w:rsid w:val="00472DA2"/>
    <w:rsid w:val="00473B6D"/>
    <w:rsid w:val="00475B24"/>
    <w:rsid w:val="00483048"/>
    <w:rsid w:val="00490482"/>
    <w:rsid w:val="00495EFD"/>
    <w:rsid w:val="004A22ED"/>
    <w:rsid w:val="004A33ED"/>
    <w:rsid w:val="004A3A3B"/>
    <w:rsid w:val="004A67BE"/>
    <w:rsid w:val="004A7DE4"/>
    <w:rsid w:val="004B74AD"/>
    <w:rsid w:val="004D2C00"/>
    <w:rsid w:val="004D6764"/>
    <w:rsid w:val="004E32B3"/>
    <w:rsid w:val="004E736D"/>
    <w:rsid w:val="004F0FA6"/>
    <w:rsid w:val="00500103"/>
    <w:rsid w:val="005075AB"/>
    <w:rsid w:val="00525649"/>
    <w:rsid w:val="00526CDD"/>
    <w:rsid w:val="00530D49"/>
    <w:rsid w:val="005406E9"/>
    <w:rsid w:val="00552AE7"/>
    <w:rsid w:val="00576D2E"/>
    <w:rsid w:val="005823EF"/>
    <w:rsid w:val="00583CA9"/>
    <w:rsid w:val="005846AF"/>
    <w:rsid w:val="00591755"/>
    <w:rsid w:val="00596994"/>
    <w:rsid w:val="005A3834"/>
    <w:rsid w:val="005B2D0C"/>
    <w:rsid w:val="005C6D13"/>
    <w:rsid w:val="005D1794"/>
    <w:rsid w:val="005E2A59"/>
    <w:rsid w:val="005E653A"/>
    <w:rsid w:val="005F0277"/>
    <w:rsid w:val="005F1A8D"/>
    <w:rsid w:val="005F5501"/>
    <w:rsid w:val="005F5B42"/>
    <w:rsid w:val="005F643D"/>
    <w:rsid w:val="006009E8"/>
    <w:rsid w:val="006057CE"/>
    <w:rsid w:val="00610B2D"/>
    <w:rsid w:val="00611995"/>
    <w:rsid w:val="006171CF"/>
    <w:rsid w:val="006229B5"/>
    <w:rsid w:val="00626191"/>
    <w:rsid w:val="006452D2"/>
    <w:rsid w:val="00665C84"/>
    <w:rsid w:val="00670829"/>
    <w:rsid w:val="00690042"/>
    <w:rsid w:val="006967C5"/>
    <w:rsid w:val="006A0354"/>
    <w:rsid w:val="006A36AD"/>
    <w:rsid w:val="006A436D"/>
    <w:rsid w:val="006B2E85"/>
    <w:rsid w:val="006B5311"/>
    <w:rsid w:val="006C0F7B"/>
    <w:rsid w:val="006D050E"/>
    <w:rsid w:val="006E56D3"/>
    <w:rsid w:val="006F584F"/>
    <w:rsid w:val="00705D71"/>
    <w:rsid w:val="007109D3"/>
    <w:rsid w:val="00710CF6"/>
    <w:rsid w:val="00713C22"/>
    <w:rsid w:val="00717891"/>
    <w:rsid w:val="00721839"/>
    <w:rsid w:val="00735EC0"/>
    <w:rsid w:val="00743973"/>
    <w:rsid w:val="00753CDE"/>
    <w:rsid w:val="007641C7"/>
    <w:rsid w:val="007859F9"/>
    <w:rsid w:val="00790885"/>
    <w:rsid w:val="00791234"/>
    <w:rsid w:val="007A1ECE"/>
    <w:rsid w:val="007A4A9A"/>
    <w:rsid w:val="007A6AE1"/>
    <w:rsid w:val="007D178D"/>
    <w:rsid w:val="007D2337"/>
    <w:rsid w:val="007E051E"/>
    <w:rsid w:val="007E340E"/>
    <w:rsid w:val="007E63FD"/>
    <w:rsid w:val="007E65B8"/>
    <w:rsid w:val="007E672F"/>
    <w:rsid w:val="007F1F29"/>
    <w:rsid w:val="007F2993"/>
    <w:rsid w:val="007F720E"/>
    <w:rsid w:val="00800EE3"/>
    <w:rsid w:val="00805CCB"/>
    <w:rsid w:val="008373E7"/>
    <w:rsid w:val="0084229C"/>
    <w:rsid w:val="00852C1B"/>
    <w:rsid w:val="00856FFE"/>
    <w:rsid w:val="0087645E"/>
    <w:rsid w:val="008825C3"/>
    <w:rsid w:val="0088484F"/>
    <w:rsid w:val="008A72A9"/>
    <w:rsid w:val="008B401F"/>
    <w:rsid w:val="008C0F1B"/>
    <w:rsid w:val="008F5C11"/>
    <w:rsid w:val="00904575"/>
    <w:rsid w:val="009169FD"/>
    <w:rsid w:val="00922388"/>
    <w:rsid w:val="00922810"/>
    <w:rsid w:val="00931398"/>
    <w:rsid w:val="00936802"/>
    <w:rsid w:val="009456A0"/>
    <w:rsid w:val="009504D4"/>
    <w:rsid w:val="009534A0"/>
    <w:rsid w:val="009571C2"/>
    <w:rsid w:val="00964D2F"/>
    <w:rsid w:val="009665B5"/>
    <w:rsid w:val="0096666E"/>
    <w:rsid w:val="009703BD"/>
    <w:rsid w:val="00973C76"/>
    <w:rsid w:val="00974870"/>
    <w:rsid w:val="00982484"/>
    <w:rsid w:val="00991932"/>
    <w:rsid w:val="00991A39"/>
    <w:rsid w:val="009B1738"/>
    <w:rsid w:val="009C4FA0"/>
    <w:rsid w:val="009C5CDC"/>
    <w:rsid w:val="009C7870"/>
    <w:rsid w:val="009D07A6"/>
    <w:rsid w:val="009E1451"/>
    <w:rsid w:val="00A009E3"/>
    <w:rsid w:val="00A10418"/>
    <w:rsid w:val="00A20C45"/>
    <w:rsid w:val="00A23702"/>
    <w:rsid w:val="00A331C9"/>
    <w:rsid w:val="00A3394C"/>
    <w:rsid w:val="00A52860"/>
    <w:rsid w:val="00A54866"/>
    <w:rsid w:val="00A549ED"/>
    <w:rsid w:val="00A73A3D"/>
    <w:rsid w:val="00A83323"/>
    <w:rsid w:val="00A83E30"/>
    <w:rsid w:val="00AB6404"/>
    <w:rsid w:val="00AB7233"/>
    <w:rsid w:val="00AE5936"/>
    <w:rsid w:val="00B03432"/>
    <w:rsid w:val="00B11AE3"/>
    <w:rsid w:val="00B22649"/>
    <w:rsid w:val="00B253FC"/>
    <w:rsid w:val="00B33BE8"/>
    <w:rsid w:val="00B450B1"/>
    <w:rsid w:val="00B4660D"/>
    <w:rsid w:val="00B47F2E"/>
    <w:rsid w:val="00B52DEE"/>
    <w:rsid w:val="00B54300"/>
    <w:rsid w:val="00B57003"/>
    <w:rsid w:val="00B6783E"/>
    <w:rsid w:val="00B72EF7"/>
    <w:rsid w:val="00B76FC0"/>
    <w:rsid w:val="00B84AC2"/>
    <w:rsid w:val="00B864A4"/>
    <w:rsid w:val="00BA2E6E"/>
    <w:rsid w:val="00BD1985"/>
    <w:rsid w:val="00BD4DF6"/>
    <w:rsid w:val="00BE151E"/>
    <w:rsid w:val="00BE6F59"/>
    <w:rsid w:val="00BF169D"/>
    <w:rsid w:val="00BF5B04"/>
    <w:rsid w:val="00C01E62"/>
    <w:rsid w:val="00C027DF"/>
    <w:rsid w:val="00C05391"/>
    <w:rsid w:val="00C205E2"/>
    <w:rsid w:val="00C26443"/>
    <w:rsid w:val="00C359A1"/>
    <w:rsid w:val="00C37418"/>
    <w:rsid w:val="00C3784B"/>
    <w:rsid w:val="00C4005F"/>
    <w:rsid w:val="00C43FE9"/>
    <w:rsid w:val="00C509A1"/>
    <w:rsid w:val="00C52AAF"/>
    <w:rsid w:val="00C52DC6"/>
    <w:rsid w:val="00C54E28"/>
    <w:rsid w:val="00C5562C"/>
    <w:rsid w:val="00C808E3"/>
    <w:rsid w:val="00C811F3"/>
    <w:rsid w:val="00C91361"/>
    <w:rsid w:val="00CA4730"/>
    <w:rsid w:val="00CB3F75"/>
    <w:rsid w:val="00CC7E41"/>
    <w:rsid w:val="00CD02F3"/>
    <w:rsid w:val="00CE1FE6"/>
    <w:rsid w:val="00CE3E13"/>
    <w:rsid w:val="00CE5F5B"/>
    <w:rsid w:val="00D03260"/>
    <w:rsid w:val="00D10B83"/>
    <w:rsid w:val="00D25A15"/>
    <w:rsid w:val="00D309A7"/>
    <w:rsid w:val="00D56FED"/>
    <w:rsid w:val="00D62FCC"/>
    <w:rsid w:val="00D9511E"/>
    <w:rsid w:val="00D97760"/>
    <w:rsid w:val="00DA11CE"/>
    <w:rsid w:val="00DB6165"/>
    <w:rsid w:val="00DB69E1"/>
    <w:rsid w:val="00DC40FF"/>
    <w:rsid w:val="00DC5521"/>
    <w:rsid w:val="00DD56E8"/>
    <w:rsid w:val="00E02C3E"/>
    <w:rsid w:val="00E107C1"/>
    <w:rsid w:val="00E11383"/>
    <w:rsid w:val="00E1163E"/>
    <w:rsid w:val="00E11F5E"/>
    <w:rsid w:val="00E1362F"/>
    <w:rsid w:val="00E17F63"/>
    <w:rsid w:val="00E327D6"/>
    <w:rsid w:val="00E352EC"/>
    <w:rsid w:val="00E414E3"/>
    <w:rsid w:val="00E46A79"/>
    <w:rsid w:val="00E474DC"/>
    <w:rsid w:val="00E516DB"/>
    <w:rsid w:val="00E6327D"/>
    <w:rsid w:val="00E70FC8"/>
    <w:rsid w:val="00E75122"/>
    <w:rsid w:val="00E752A3"/>
    <w:rsid w:val="00EA2F9C"/>
    <w:rsid w:val="00EA7076"/>
    <w:rsid w:val="00EE075D"/>
    <w:rsid w:val="00EF30A0"/>
    <w:rsid w:val="00EF3772"/>
    <w:rsid w:val="00F064F1"/>
    <w:rsid w:val="00F50765"/>
    <w:rsid w:val="00F75865"/>
    <w:rsid w:val="00F80E38"/>
    <w:rsid w:val="00F80F65"/>
    <w:rsid w:val="00F9755F"/>
    <w:rsid w:val="00FA3C47"/>
    <w:rsid w:val="00FA760F"/>
    <w:rsid w:val="00FB0E61"/>
    <w:rsid w:val="00FB1103"/>
    <w:rsid w:val="00FB6107"/>
    <w:rsid w:val="00FC2640"/>
    <w:rsid w:val="00FD1321"/>
    <w:rsid w:val="00FD1CEE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B010"/>
  <w15:chartTrackingRefBased/>
  <w15:docId w15:val="{CC90DDEB-4286-A84A-859F-09EB5CA4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C0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FE6"/>
    <w:pPr>
      <w:spacing w:before="100" w:beforeAutospacing="1" w:after="100" w:afterAutospacing="1"/>
    </w:pPr>
    <w:rPr>
      <w:lang w:val="en-AU" w:eastAsia="en-GB"/>
    </w:rPr>
  </w:style>
  <w:style w:type="character" w:styleId="Strong">
    <w:name w:val="Strong"/>
    <w:basedOn w:val="DefaultParagraphFont"/>
    <w:uiPriority w:val="22"/>
    <w:qFormat/>
    <w:rsid w:val="00CE1FE6"/>
    <w:rPr>
      <w:b/>
      <w:bCs/>
    </w:rPr>
  </w:style>
  <w:style w:type="character" w:styleId="Emphasis">
    <w:name w:val="Emphasis"/>
    <w:basedOn w:val="DefaultParagraphFont"/>
    <w:uiPriority w:val="20"/>
    <w:qFormat/>
    <w:rsid w:val="00CE1FE6"/>
    <w:rPr>
      <w:i/>
      <w:iCs/>
    </w:rPr>
  </w:style>
  <w:style w:type="paragraph" w:customStyle="1" w:styleId="Default">
    <w:name w:val="Default"/>
    <w:rsid w:val="004F0FA6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en-NZ" w:eastAsia="en-NZ"/>
      <w14:ligatures w14:val="none"/>
    </w:rPr>
  </w:style>
  <w:style w:type="character" w:customStyle="1" w:styleId="A4">
    <w:name w:val="A4"/>
    <w:uiPriority w:val="99"/>
    <w:rsid w:val="004F0FA6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4F0FA6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0B0639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A6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AE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AE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D95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andrechobanian/Desktop/16-10-2023%20AILDR-%20Myositis%20Coho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>
                  <a:lumMod val="95000"/>
                  <a:lumOff val="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94-9E48-BDEC-4DA2AF7E5DD2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94-9E48-BDEC-4DA2AF7E5DD2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94-9E48-BDEC-4DA2AF7E5DD2}"/>
              </c:ext>
            </c:extLst>
          </c:dPt>
          <c:dPt>
            <c:idx val="3"/>
            <c:invertIfNegative val="0"/>
            <c:bubble3D val="0"/>
            <c:spPr>
              <a:pattFill prst="pct10">
                <a:fgClr>
                  <a:schemeClr val="bg2">
                    <a:lumMod val="75000"/>
                  </a:schemeClr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94-9E48-BDEC-4DA2AF7E5DD2}"/>
              </c:ext>
            </c:extLst>
          </c:dPt>
          <c:dPt>
            <c:idx val="4"/>
            <c:invertIfNegative val="0"/>
            <c:bubble3D val="0"/>
            <c:spPr>
              <a:pattFill prst="pct50">
                <a:fgClr>
                  <a:schemeClr val="bg2">
                    <a:lumMod val="75000"/>
                  </a:schemeClr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E94-9E48-BDEC-4DA2AF7E5DD2}"/>
              </c:ext>
            </c:extLst>
          </c:dPt>
          <c:dPt>
            <c:idx val="5"/>
            <c:invertIfNegative val="0"/>
            <c:bubble3D val="0"/>
            <c:spPr>
              <a:pattFill prst="dkDnDiag">
                <a:fgClr>
                  <a:schemeClr val="bg2">
                    <a:lumMod val="75000"/>
                  </a:schemeClr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E94-9E48-BDEC-4DA2AF7E5DD2}"/>
              </c:ext>
            </c:extLst>
          </c:dPt>
          <c:dPt>
            <c:idx val="6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E94-9E48-BDEC-4DA2AF7E5DD2}"/>
              </c:ext>
            </c:extLst>
          </c:dPt>
          <c:dPt>
            <c:idx val="7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E94-9E48-BDEC-4DA2AF7E5DD2}"/>
              </c:ext>
            </c:extLst>
          </c:dPt>
          <c:dPt>
            <c:idx val="8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E94-9E48-BDEC-4DA2AF7E5DD2}"/>
              </c:ext>
            </c:extLst>
          </c:dPt>
          <c:cat>
            <c:multiLvlStrRef>
              <c:f>'IIM Subtypes'!$AM$277:$AN$285</c:f>
              <c:multiLvlStrCache>
                <c:ptCount val="9"/>
                <c:lvl>
                  <c:pt idx="0">
                    <c:v>Jo1</c:v>
                  </c:pt>
                  <c:pt idx="1">
                    <c:v>PL-7</c:v>
                  </c:pt>
                  <c:pt idx="2">
                    <c:v>PL-12</c:v>
                  </c:pt>
                  <c:pt idx="3">
                    <c:v>Mi2</c:v>
                  </c:pt>
                  <c:pt idx="4">
                    <c:v>MDA5</c:v>
                  </c:pt>
                  <c:pt idx="5">
                    <c:v>NXP-2</c:v>
                  </c:pt>
                  <c:pt idx="6">
                    <c:v>PM/Scl75</c:v>
                  </c:pt>
                  <c:pt idx="7">
                    <c:v>Ku</c:v>
                  </c:pt>
                  <c:pt idx="8">
                    <c:v>PM/Scl100</c:v>
                  </c:pt>
                </c:lvl>
                <c:lvl>
                  <c:pt idx="0">
                    <c:v>Anti-synthetase syndrome</c:v>
                  </c:pt>
                  <c:pt idx="3">
                    <c:v>Dermatomyositis</c:v>
                  </c:pt>
                  <c:pt idx="6">
                    <c:v>Overlap Myositis</c:v>
                  </c:pt>
                </c:lvl>
              </c:multiLvlStrCache>
            </c:multiLvlStrRef>
          </c:cat>
          <c:val>
            <c:numRef>
              <c:f>'IIM Subtypes'!$AO$277:$AO$285</c:f>
              <c:numCache>
                <c:formatCode>General</c:formatCode>
                <c:ptCount val="9"/>
                <c:pt idx="0">
                  <c:v>38.5</c:v>
                </c:pt>
                <c:pt idx="1">
                  <c:v>29.8</c:v>
                </c:pt>
                <c:pt idx="2">
                  <c:v>13.2</c:v>
                </c:pt>
                <c:pt idx="3">
                  <c:v>44.9</c:v>
                </c:pt>
                <c:pt idx="4">
                  <c:v>24.5</c:v>
                </c:pt>
                <c:pt idx="5">
                  <c:v>14.3</c:v>
                </c:pt>
                <c:pt idx="6">
                  <c:v>44.2</c:v>
                </c:pt>
                <c:pt idx="7">
                  <c:v>30.7</c:v>
                </c:pt>
                <c:pt idx="8">
                  <c:v>28.8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E94-9E48-BDEC-4DA2AF7E5D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6058879"/>
        <c:axId val="647833567"/>
      </c:barChart>
      <c:catAx>
        <c:axId val="6760588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47833567"/>
        <c:crosses val="autoZero"/>
        <c:auto val="1"/>
        <c:lblAlgn val="ctr"/>
        <c:lblOffset val="100"/>
        <c:noMultiLvlLbl val="0"/>
      </c:catAx>
      <c:valAx>
        <c:axId val="647833567"/>
        <c:scaling>
          <c:orientation val="minMax"/>
          <c:max val="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  <a:r>
                  <a:rPr lang="en-GB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(%)</a:t>
                </a:r>
                <a:endParaRPr lang="en-GB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1.2567793100479506E-2"/>
              <c:y val="0.332053760057535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60588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acho3305</dc:creator>
  <cp:keywords/>
  <dc:description/>
  <cp:lastModifiedBy>acho3305</cp:lastModifiedBy>
  <cp:revision>36</cp:revision>
  <dcterms:created xsi:type="dcterms:W3CDTF">2023-10-18T10:25:00Z</dcterms:created>
  <dcterms:modified xsi:type="dcterms:W3CDTF">2023-10-18T12:50:00Z</dcterms:modified>
</cp:coreProperties>
</file>