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6"/>
      </w:tblGrid>
      <w:tr w:rsidR="001564A4" w:rsidRPr="0050053A" w14:paraId="5C38377B" w14:textId="77777777" w:rsidTr="00AF6EBB">
        <w:trPr>
          <w:trHeight w:val="779"/>
          <w:jc w:val="center"/>
        </w:trPr>
        <w:tc>
          <w:tcPr>
            <w:tcW w:w="8726" w:type="dxa"/>
            <w:shd w:val="clear" w:color="auto" w:fill="auto"/>
          </w:tcPr>
          <w:p w14:paraId="5C44F357" w14:textId="12F558D8" w:rsidR="001564A4" w:rsidRPr="00AF6EBB" w:rsidRDefault="00AF6EBB" w:rsidP="000A28E2">
            <w:pPr>
              <w:spacing w:before="120" w:after="120"/>
              <w:rPr>
                <w:rFonts w:ascii="Arial" w:hAnsi="Arial" w:cs="Arial"/>
                <w:b/>
                <w:bCs/>
                <w:sz w:val="22"/>
                <w:szCs w:val="22"/>
                <w:lang w:val="en-US" w:eastAsia="zh-CN"/>
              </w:rPr>
            </w:pPr>
            <w:r w:rsidRPr="00AF6EBB">
              <w:rPr>
                <w:rFonts w:ascii="Arial" w:hAnsi="Arial" w:cs="Arial"/>
                <w:b/>
                <w:bCs/>
                <w:sz w:val="22"/>
                <w:szCs w:val="22"/>
              </w:rPr>
              <w:t>Reporting of Incidental Findings Identified in Lung Cancer Screening</w:t>
            </w:r>
          </w:p>
        </w:tc>
      </w:tr>
      <w:tr w:rsidR="001564A4" w:rsidRPr="00AF6EBB" w14:paraId="0E2E035C" w14:textId="77777777" w:rsidTr="00AF6EBB">
        <w:trPr>
          <w:trHeight w:val="1152"/>
          <w:jc w:val="center"/>
        </w:trPr>
        <w:tc>
          <w:tcPr>
            <w:tcW w:w="8726" w:type="dxa"/>
            <w:shd w:val="clear" w:color="auto" w:fill="auto"/>
          </w:tcPr>
          <w:p w14:paraId="73B55295" w14:textId="4E0963D8" w:rsidR="001564A4" w:rsidRPr="00AF6EBB" w:rsidRDefault="00AF6EBB" w:rsidP="00AF6EBB">
            <w:pPr>
              <w:rPr>
                <w:rFonts w:ascii="Arial" w:hAnsi="Arial" w:cs="Arial"/>
                <w:sz w:val="22"/>
                <w:szCs w:val="22"/>
                <w:vertAlign w:val="superscript"/>
              </w:rPr>
            </w:pPr>
            <w:r w:rsidRPr="00AF6EBB">
              <w:rPr>
                <w:rFonts w:ascii="Arial" w:hAnsi="Arial" w:cs="Arial"/>
                <w:sz w:val="22"/>
                <w:szCs w:val="22"/>
              </w:rPr>
              <w:t>White CJ</w:t>
            </w:r>
            <w:r w:rsidRPr="00AF6EBB">
              <w:rPr>
                <w:rFonts w:ascii="Arial" w:hAnsi="Arial" w:cs="Arial"/>
                <w:sz w:val="22"/>
                <w:szCs w:val="22"/>
                <w:vertAlign w:val="superscript"/>
              </w:rPr>
              <w:t>1,2</w:t>
            </w:r>
            <w:r w:rsidRPr="00AF6EBB">
              <w:rPr>
                <w:rFonts w:ascii="Arial" w:hAnsi="Arial" w:cs="Arial"/>
                <w:sz w:val="22"/>
                <w:szCs w:val="22"/>
              </w:rPr>
              <w:t>, Tonga KO</w:t>
            </w:r>
            <w:r w:rsidRPr="00AF6EBB">
              <w:rPr>
                <w:rFonts w:ascii="Arial" w:hAnsi="Arial" w:cs="Arial"/>
                <w:sz w:val="22"/>
                <w:szCs w:val="22"/>
                <w:vertAlign w:val="superscript"/>
              </w:rPr>
              <w:t>1,2,3</w:t>
            </w:r>
            <w:r w:rsidRPr="00AF6EBB">
              <w:rPr>
                <w:rFonts w:ascii="Arial" w:hAnsi="Arial" w:cs="Arial"/>
                <w:sz w:val="22"/>
                <w:szCs w:val="22"/>
              </w:rPr>
              <w:t>, Silverstone E</w:t>
            </w:r>
            <w:r w:rsidRPr="00AF6EBB">
              <w:rPr>
                <w:rFonts w:ascii="Arial" w:hAnsi="Arial" w:cs="Arial"/>
                <w:sz w:val="22"/>
                <w:szCs w:val="22"/>
                <w:vertAlign w:val="superscript"/>
              </w:rPr>
              <w:t>4</w:t>
            </w:r>
            <w:r w:rsidRPr="00AF6EBB">
              <w:rPr>
                <w:rFonts w:ascii="Arial" w:hAnsi="Arial" w:cs="Arial"/>
                <w:sz w:val="22"/>
                <w:szCs w:val="22"/>
              </w:rPr>
              <w:t>, Milner B</w:t>
            </w:r>
            <w:r w:rsidRPr="00AF6EBB">
              <w:rPr>
                <w:rFonts w:ascii="Arial" w:hAnsi="Arial" w:cs="Arial"/>
                <w:sz w:val="22"/>
                <w:szCs w:val="22"/>
                <w:vertAlign w:val="superscript"/>
              </w:rPr>
              <w:t>4</w:t>
            </w:r>
            <w:r w:rsidRPr="00AF6EBB">
              <w:rPr>
                <w:rFonts w:ascii="Arial" w:hAnsi="Arial" w:cs="Arial"/>
                <w:sz w:val="22"/>
                <w:szCs w:val="22"/>
              </w:rPr>
              <w:t>, Nguyen D</w:t>
            </w:r>
            <w:r w:rsidRPr="00AF6EBB">
              <w:rPr>
                <w:rFonts w:ascii="Arial" w:hAnsi="Arial" w:cs="Arial"/>
                <w:sz w:val="22"/>
                <w:szCs w:val="22"/>
                <w:vertAlign w:val="superscript"/>
              </w:rPr>
              <w:t>4</w:t>
            </w:r>
            <w:r w:rsidRPr="00AF6EBB">
              <w:rPr>
                <w:rFonts w:ascii="Arial" w:hAnsi="Arial" w:cs="Arial"/>
                <w:sz w:val="22"/>
                <w:szCs w:val="22"/>
              </w:rPr>
              <w:t>, Hsu E</w:t>
            </w:r>
            <w:r w:rsidRPr="00AF6EBB">
              <w:rPr>
                <w:rFonts w:ascii="Arial" w:hAnsi="Arial" w:cs="Arial"/>
                <w:sz w:val="22"/>
                <w:szCs w:val="22"/>
                <w:vertAlign w:val="superscript"/>
              </w:rPr>
              <w:t>4</w:t>
            </w:r>
            <w:r w:rsidRPr="00AF6EBB">
              <w:rPr>
                <w:rFonts w:ascii="Arial" w:hAnsi="Arial" w:cs="Arial"/>
                <w:sz w:val="22"/>
                <w:szCs w:val="22"/>
              </w:rPr>
              <w:t>, Marshall HM</w:t>
            </w:r>
            <w:r w:rsidRPr="00AF6EBB">
              <w:rPr>
                <w:rFonts w:ascii="Arial" w:hAnsi="Arial" w:cs="Arial"/>
                <w:sz w:val="22"/>
                <w:szCs w:val="22"/>
                <w:vertAlign w:val="superscript"/>
              </w:rPr>
              <w:t>5,6</w:t>
            </w:r>
            <w:r w:rsidRPr="00AF6EBB">
              <w:rPr>
                <w:rFonts w:ascii="Arial" w:hAnsi="Arial" w:cs="Arial"/>
                <w:sz w:val="22"/>
                <w:szCs w:val="22"/>
              </w:rPr>
              <w:t>, Yang I</w:t>
            </w:r>
            <w:r w:rsidRPr="00AF6EBB">
              <w:rPr>
                <w:rFonts w:ascii="Arial" w:hAnsi="Arial" w:cs="Arial"/>
                <w:sz w:val="22"/>
                <w:szCs w:val="22"/>
                <w:vertAlign w:val="superscript"/>
              </w:rPr>
              <w:t>5,6</w:t>
            </w:r>
            <w:r w:rsidRPr="00AF6EBB">
              <w:rPr>
                <w:rFonts w:ascii="Arial" w:hAnsi="Arial" w:cs="Arial"/>
                <w:sz w:val="22"/>
                <w:szCs w:val="22"/>
              </w:rPr>
              <w:t>, Fong KM</w:t>
            </w:r>
            <w:r w:rsidRPr="00AF6EBB">
              <w:rPr>
                <w:rFonts w:ascii="Arial" w:hAnsi="Arial" w:cs="Arial"/>
                <w:sz w:val="22"/>
                <w:szCs w:val="22"/>
                <w:vertAlign w:val="superscript"/>
              </w:rPr>
              <w:t>5,6</w:t>
            </w:r>
            <w:r w:rsidRPr="00AF6EBB">
              <w:rPr>
                <w:rFonts w:ascii="Arial" w:hAnsi="Arial" w:cs="Arial"/>
                <w:sz w:val="22"/>
                <w:szCs w:val="22"/>
              </w:rPr>
              <w:t>,</w:t>
            </w:r>
            <w:r w:rsidRPr="00AF6EBB">
              <w:rPr>
                <w:rFonts w:ascii="Arial" w:hAnsi="Arial" w:cs="Arial"/>
                <w:sz w:val="22"/>
                <w:szCs w:val="22"/>
              </w:rPr>
              <w:t xml:space="preserve"> </w:t>
            </w:r>
            <w:proofErr w:type="spellStart"/>
            <w:r w:rsidRPr="00AF6EBB">
              <w:rPr>
                <w:rFonts w:ascii="Arial" w:hAnsi="Arial" w:cs="Arial"/>
                <w:sz w:val="22"/>
                <w:szCs w:val="22"/>
              </w:rPr>
              <w:t>Manser</w:t>
            </w:r>
            <w:proofErr w:type="spellEnd"/>
            <w:r w:rsidRPr="00AF6EBB">
              <w:rPr>
                <w:rFonts w:ascii="Arial" w:hAnsi="Arial" w:cs="Arial"/>
                <w:sz w:val="22"/>
                <w:szCs w:val="22"/>
              </w:rPr>
              <w:t xml:space="preserve"> R</w:t>
            </w:r>
            <w:r w:rsidRPr="00AF6EBB">
              <w:rPr>
                <w:rFonts w:ascii="Arial" w:hAnsi="Arial" w:cs="Arial"/>
                <w:sz w:val="22"/>
                <w:szCs w:val="22"/>
                <w:vertAlign w:val="superscript"/>
              </w:rPr>
              <w:t>7,8,9</w:t>
            </w:r>
            <w:r w:rsidRPr="00AF6EBB">
              <w:rPr>
                <w:rFonts w:ascii="Arial" w:hAnsi="Arial" w:cs="Arial"/>
                <w:sz w:val="22"/>
                <w:szCs w:val="22"/>
              </w:rPr>
              <w:t>, Bonn</w:t>
            </w:r>
            <w:r>
              <w:rPr>
                <w:rFonts w:ascii="Arial" w:hAnsi="Arial" w:cs="Arial"/>
                <w:sz w:val="22"/>
                <w:szCs w:val="22"/>
              </w:rPr>
              <w:t>ey A</w:t>
            </w:r>
            <w:r w:rsidRPr="00AF6EBB">
              <w:rPr>
                <w:rFonts w:ascii="Arial" w:hAnsi="Arial" w:cs="Arial"/>
                <w:sz w:val="22"/>
                <w:szCs w:val="22"/>
                <w:vertAlign w:val="superscript"/>
              </w:rPr>
              <w:t>7,8</w:t>
            </w:r>
            <w:r>
              <w:rPr>
                <w:rFonts w:ascii="Arial" w:hAnsi="Arial" w:cs="Arial"/>
                <w:sz w:val="22"/>
                <w:szCs w:val="22"/>
              </w:rPr>
              <w:t>, Brims F</w:t>
            </w:r>
            <w:r w:rsidRPr="00AF6EBB">
              <w:rPr>
                <w:rFonts w:ascii="Arial" w:hAnsi="Arial" w:cs="Arial"/>
                <w:sz w:val="22"/>
                <w:szCs w:val="22"/>
                <w:vertAlign w:val="superscript"/>
              </w:rPr>
              <w:t>10,11</w:t>
            </w:r>
            <w:r>
              <w:rPr>
                <w:rFonts w:ascii="Arial" w:hAnsi="Arial" w:cs="Arial"/>
                <w:sz w:val="22"/>
                <w:szCs w:val="22"/>
              </w:rPr>
              <w:t>, McWilliams A</w:t>
            </w:r>
            <w:r w:rsidRPr="00AF6EBB">
              <w:rPr>
                <w:rFonts w:ascii="Arial" w:hAnsi="Arial" w:cs="Arial"/>
                <w:sz w:val="22"/>
                <w:szCs w:val="22"/>
                <w:vertAlign w:val="superscript"/>
              </w:rPr>
              <w:t>1</w:t>
            </w:r>
            <w:r>
              <w:rPr>
                <w:rFonts w:ascii="Arial" w:hAnsi="Arial" w:cs="Arial"/>
                <w:sz w:val="22"/>
                <w:szCs w:val="22"/>
                <w:vertAlign w:val="superscript"/>
              </w:rPr>
              <w:t>2</w:t>
            </w:r>
            <w:r w:rsidRPr="00AF6EBB">
              <w:rPr>
                <w:rFonts w:ascii="Arial" w:hAnsi="Arial" w:cs="Arial"/>
                <w:sz w:val="22"/>
                <w:szCs w:val="22"/>
                <w:vertAlign w:val="superscript"/>
              </w:rPr>
              <w:t>,1</w:t>
            </w:r>
            <w:r>
              <w:rPr>
                <w:rFonts w:ascii="Arial" w:hAnsi="Arial" w:cs="Arial"/>
                <w:sz w:val="22"/>
                <w:szCs w:val="22"/>
                <w:vertAlign w:val="superscript"/>
              </w:rPr>
              <w:t>3</w:t>
            </w:r>
            <w:r>
              <w:rPr>
                <w:rFonts w:ascii="Arial" w:hAnsi="Arial" w:cs="Arial"/>
                <w:sz w:val="22"/>
                <w:szCs w:val="22"/>
              </w:rPr>
              <w:t>, Hu X</w:t>
            </w:r>
            <w:r w:rsidRPr="00AF6EBB">
              <w:rPr>
                <w:rFonts w:ascii="Arial" w:hAnsi="Arial" w:cs="Arial"/>
                <w:sz w:val="22"/>
                <w:szCs w:val="22"/>
                <w:vertAlign w:val="superscript"/>
              </w:rPr>
              <w:t>1</w:t>
            </w:r>
            <w:r>
              <w:rPr>
                <w:rFonts w:ascii="Arial" w:hAnsi="Arial" w:cs="Arial"/>
                <w:sz w:val="22"/>
                <w:szCs w:val="22"/>
              </w:rPr>
              <w:t>,</w:t>
            </w:r>
            <w:r w:rsidRPr="00AF6EBB">
              <w:rPr>
                <w:rFonts w:ascii="Arial" w:hAnsi="Arial" w:cs="Arial"/>
                <w:sz w:val="22"/>
                <w:szCs w:val="22"/>
              </w:rPr>
              <w:t xml:space="preserve"> </w:t>
            </w:r>
            <w:proofErr w:type="spellStart"/>
            <w:r>
              <w:rPr>
                <w:rFonts w:ascii="Arial" w:hAnsi="Arial" w:cs="Arial"/>
                <w:sz w:val="22"/>
                <w:szCs w:val="22"/>
              </w:rPr>
              <w:t>Rofe</w:t>
            </w:r>
            <w:proofErr w:type="spellEnd"/>
            <w:r>
              <w:rPr>
                <w:rFonts w:ascii="Arial" w:hAnsi="Arial" w:cs="Arial"/>
                <w:sz w:val="22"/>
                <w:szCs w:val="22"/>
              </w:rPr>
              <w:t xml:space="preserve"> C</w:t>
            </w:r>
            <w:r>
              <w:rPr>
                <w:rFonts w:ascii="Arial" w:hAnsi="Arial" w:cs="Arial"/>
                <w:sz w:val="22"/>
                <w:szCs w:val="22"/>
                <w:vertAlign w:val="superscript"/>
              </w:rPr>
              <w:t>14</w:t>
            </w:r>
            <w:r>
              <w:rPr>
                <w:rFonts w:ascii="Arial" w:hAnsi="Arial" w:cs="Arial"/>
                <w:sz w:val="22"/>
                <w:szCs w:val="22"/>
              </w:rPr>
              <w:t xml:space="preserve">, </w:t>
            </w:r>
            <w:r w:rsidRPr="00AF6EBB">
              <w:rPr>
                <w:rFonts w:ascii="Arial" w:hAnsi="Arial" w:cs="Arial"/>
                <w:sz w:val="22"/>
                <w:szCs w:val="22"/>
              </w:rPr>
              <w:t>Stone E</w:t>
            </w:r>
            <w:r w:rsidRPr="00AF6EBB">
              <w:rPr>
                <w:rFonts w:ascii="Arial" w:hAnsi="Arial" w:cs="Arial"/>
                <w:sz w:val="22"/>
                <w:szCs w:val="22"/>
                <w:vertAlign w:val="superscript"/>
              </w:rPr>
              <w:t>1,2</w:t>
            </w:r>
          </w:p>
        </w:tc>
      </w:tr>
      <w:tr w:rsidR="001564A4" w:rsidRPr="0050053A" w14:paraId="385A19D9" w14:textId="77777777" w:rsidTr="00AF6EBB">
        <w:trPr>
          <w:trHeight w:val="206"/>
          <w:jc w:val="center"/>
        </w:trPr>
        <w:tc>
          <w:tcPr>
            <w:tcW w:w="8726" w:type="dxa"/>
            <w:shd w:val="clear" w:color="auto" w:fill="auto"/>
          </w:tcPr>
          <w:p w14:paraId="0AC013CC" w14:textId="77777777" w:rsidR="00AF6EBB" w:rsidRDefault="00AF6EBB" w:rsidP="00AF6EBB">
            <w:pPr>
              <w:rPr>
                <w:rFonts w:ascii="Arial" w:hAnsi="Arial" w:cs="Arial"/>
                <w:sz w:val="22"/>
                <w:szCs w:val="22"/>
                <w:vertAlign w:val="superscript"/>
              </w:rPr>
            </w:pPr>
          </w:p>
          <w:p w14:paraId="05C42EC3" w14:textId="77777777" w:rsidR="00AF6EBB" w:rsidRPr="005409D2" w:rsidRDefault="00AF6EBB" w:rsidP="00AF6EBB">
            <w:pPr>
              <w:rPr>
                <w:rFonts w:ascii="Arial" w:hAnsi="Arial" w:cs="Arial"/>
                <w:i/>
                <w:iCs/>
                <w:sz w:val="22"/>
                <w:szCs w:val="22"/>
              </w:rPr>
            </w:pPr>
            <w:r w:rsidRPr="005409D2">
              <w:rPr>
                <w:rFonts w:ascii="Arial" w:hAnsi="Arial" w:cs="Arial"/>
                <w:i/>
                <w:iCs/>
                <w:sz w:val="22"/>
                <w:szCs w:val="22"/>
                <w:vertAlign w:val="superscript"/>
              </w:rPr>
              <w:t xml:space="preserve">1 </w:t>
            </w:r>
            <w:r w:rsidRPr="005409D2">
              <w:rPr>
                <w:rFonts w:ascii="Arial" w:hAnsi="Arial" w:cs="Arial"/>
                <w:i/>
                <w:iCs/>
                <w:sz w:val="22"/>
                <w:szCs w:val="22"/>
              </w:rPr>
              <w:t>Lung Transplant &amp; Thoracic Medicine Unit, St Vincent’s Hospital, Sydney, NSW Australia</w:t>
            </w:r>
          </w:p>
          <w:p w14:paraId="5242A46A" w14:textId="77777777" w:rsidR="00AF6EBB" w:rsidRPr="005409D2" w:rsidRDefault="00AF6EBB" w:rsidP="00AF6EBB">
            <w:pPr>
              <w:rPr>
                <w:rFonts w:ascii="Arial" w:hAnsi="Arial" w:cs="Arial"/>
                <w:i/>
                <w:iCs/>
                <w:sz w:val="22"/>
                <w:szCs w:val="22"/>
              </w:rPr>
            </w:pPr>
            <w:r w:rsidRPr="005409D2">
              <w:rPr>
                <w:rFonts w:ascii="Arial" w:hAnsi="Arial" w:cs="Arial"/>
                <w:i/>
                <w:iCs/>
                <w:sz w:val="22"/>
                <w:szCs w:val="22"/>
                <w:vertAlign w:val="superscript"/>
              </w:rPr>
              <w:t>2</w:t>
            </w:r>
            <w:r w:rsidRPr="005409D2">
              <w:rPr>
                <w:rFonts w:ascii="Arial" w:hAnsi="Arial" w:cs="Arial"/>
                <w:i/>
                <w:iCs/>
                <w:sz w:val="22"/>
                <w:szCs w:val="22"/>
              </w:rPr>
              <w:t>St Vincent’s Clinical School, The University of New South Wales, Sydney, NSW Australia</w:t>
            </w:r>
          </w:p>
          <w:p w14:paraId="61AA4B7A" w14:textId="77777777" w:rsidR="00AF6EBB" w:rsidRPr="005409D2" w:rsidRDefault="00AF6EBB" w:rsidP="00AF6EBB">
            <w:pPr>
              <w:rPr>
                <w:rFonts w:ascii="Arial" w:hAnsi="Arial" w:cs="Arial"/>
                <w:i/>
                <w:iCs/>
                <w:sz w:val="22"/>
                <w:szCs w:val="22"/>
              </w:rPr>
            </w:pPr>
            <w:r w:rsidRPr="005409D2">
              <w:rPr>
                <w:rFonts w:ascii="Arial" w:hAnsi="Arial" w:cs="Arial"/>
                <w:i/>
                <w:iCs/>
                <w:sz w:val="22"/>
                <w:szCs w:val="22"/>
                <w:vertAlign w:val="superscript"/>
              </w:rPr>
              <w:t>3</w:t>
            </w:r>
            <w:r w:rsidRPr="005409D2">
              <w:rPr>
                <w:rFonts w:ascii="Arial" w:hAnsi="Arial" w:cs="Arial"/>
                <w:i/>
                <w:iCs/>
                <w:sz w:val="22"/>
                <w:szCs w:val="22"/>
              </w:rPr>
              <w:t>Northern Clinical School, Faculty of Medicine &amp; Health, The University of Sydney, Sydney, NSW Australia</w:t>
            </w:r>
          </w:p>
          <w:p w14:paraId="5D1E6069" w14:textId="77777777" w:rsidR="00AF6EBB" w:rsidRPr="005409D2" w:rsidRDefault="00AF6EBB" w:rsidP="00AF6EBB">
            <w:pPr>
              <w:rPr>
                <w:rFonts w:ascii="Arial" w:hAnsi="Arial" w:cs="Arial"/>
                <w:i/>
                <w:iCs/>
                <w:sz w:val="22"/>
                <w:szCs w:val="22"/>
              </w:rPr>
            </w:pPr>
            <w:r w:rsidRPr="005409D2">
              <w:rPr>
                <w:rFonts w:ascii="Arial" w:hAnsi="Arial" w:cs="Arial"/>
                <w:i/>
                <w:iCs/>
                <w:sz w:val="22"/>
                <w:szCs w:val="22"/>
                <w:vertAlign w:val="superscript"/>
              </w:rPr>
              <w:t>4</w:t>
            </w:r>
            <w:r w:rsidRPr="005409D2">
              <w:rPr>
                <w:rFonts w:ascii="Arial" w:hAnsi="Arial" w:cs="Arial"/>
                <w:i/>
                <w:iCs/>
                <w:sz w:val="22"/>
                <w:szCs w:val="22"/>
              </w:rPr>
              <w:t>Radiology Department, St Vincent’s Hospital, Sydney, NSW Australia</w:t>
            </w:r>
          </w:p>
          <w:p w14:paraId="716574DB" w14:textId="77777777" w:rsidR="00AF6EBB" w:rsidRPr="005409D2" w:rsidRDefault="00AF6EBB" w:rsidP="00AF6EBB">
            <w:pPr>
              <w:rPr>
                <w:rFonts w:ascii="Arial" w:hAnsi="Arial" w:cs="Arial"/>
                <w:i/>
                <w:iCs/>
                <w:sz w:val="22"/>
                <w:szCs w:val="22"/>
              </w:rPr>
            </w:pPr>
            <w:r w:rsidRPr="005409D2">
              <w:rPr>
                <w:rFonts w:ascii="Arial" w:hAnsi="Arial" w:cs="Arial"/>
                <w:i/>
                <w:iCs/>
                <w:sz w:val="22"/>
                <w:szCs w:val="22"/>
                <w:vertAlign w:val="superscript"/>
              </w:rPr>
              <w:t>5</w:t>
            </w:r>
            <w:r w:rsidRPr="005409D2">
              <w:rPr>
                <w:rFonts w:ascii="Arial" w:hAnsi="Arial" w:cs="Arial"/>
                <w:i/>
                <w:iCs/>
                <w:sz w:val="22"/>
                <w:szCs w:val="22"/>
              </w:rPr>
              <w:t>Thoracic Medicine Department, The Prince Charles Hospital, Brisbane, QLD Australia</w:t>
            </w:r>
          </w:p>
          <w:p w14:paraId="2C3991E7" w14:textId="77777777" w:rsidR="001564A4" w:rsidRDefault="00AF6EBB" w:rsidP="00AF6EBB">
            <w:pPr>
              <w:rPr>
                <w:rFonts w:ascii="Arial" w:hAnsi="Arial" w:cs="Arial"/>
                <w:i/>
                <w:iCs/>
                <w:sz w:val="22"/>
                <w:szCs w:val="22"/>
              </w:rPr>
            </w:pPr>
            <w:r w:rsidRPr="005409D2">
              <w:rPr>
                <w:rFonts w:ascii="Arial" w:hAnsi="Arial" w:cs="Arial"/>
                <w:i/>
                <w:iCs/>
                <w:sz w:val="22"/>
                <w:szCs w:val="22"/>
                <w:vertAlign w:val="superscript"/>
              </w:rPr>
              <w:t>6</w:t>
            </w:r>
            <w:r w:rsidRPr="005409D2">
              <w:rPr>
                <w:rFonts w:ascii="Arial" w:hAnsi="Arial" w:cs="Arial"/>
                <w:i/>
                <w:iCs/>
                <w:sz w:val="22"/>
                <w:szCs w:val="22"/>
              </w:rPr>
              <w:t>The University of Queensland, Thoracic Research Centre, Brisbane, QLD Australia</w:t>
            </w:r>
          </w:p>
          <w:p w14:paraId="31EDA4AF" w14:textId="50802606" w:rsidR="00AF6EBB" w:rsidRDefault="00AF6EBB" w:rsidP="00AF6EBB">
            <w:pPr>
              <w:rPr>
                <w:rFonts w:ascii="Arial" w:hAnsi="Arial" w:cs="Arial"/>
                <w:i/>
                <w:iCs/>
                <w:sz w:val="22"/>
                <w:szCs w:val="22"/>
              </w:rPr>
            </w:pPr>
            <w:r w:rsidRPr="00AF6EBB">
              <w:rPr>
                <w:rFonts w:ascii="Arial" w:hAnsi="Arial" w:cs="Arial"/>
                <w:i/>
                <w:iCs/>
                <w:sz w:val="22"/>
                <w:szCs w:val="22"/>
                <w:vertAlign w:val="superscript"/>
              </w:rPr>
              <w:t>7</w:t>
            </w:r>
            <w:r>
              <w:rPr>
                <w:rFonts w:ascii="Arial" w:hAnsi="Arial" w:cs="Arial"/>
                <w:i/>
                <w:iCs/>
                <w:sz w:val="22"/>
                <w:szCs w:val="22"/>
              </w:rPr>
              <w:t>Department of Respiratory and Sleep Medicine, Royal Melbourne Hospital, Victoria, Australia</w:t>
            </w:r>
          </w:p>
          <w:p w14:paraId="52B4F14A" w14:textId="77777777" w:rsidR="00AF6EBB" w:rsidRDefault="00AF6EBB" w:rsidP="00AF6EBB">
            <w:pPr>
              <w:rPr>
                <w:rFonts w:ascii="Arial" w:hAnsi="Arial" w:cs="Arial"/>
                <w:i/>
                <w:iCs/>
                <w:sz w:val="22"/>
                <w:szCs w:val="22"/>
              </w:rPr>
            </w:pPr>
            <w:r w:rsidRPr="00AF6EBB">
              <w:rPr>
                <w:rFonts w:ascii="Arial" w:hAnsi="Arial" w:cs="Arial"/>
                <w:i/>
                <w:iCs/>
                <w:sz w:val="22"/>
                <w:szCs w:val="22"/>
                <w:vertAlign w:val="superscript"/>
              </w:rPr>
              <w:t>8</w:t>
            </w:r>
            <w:r>
              <w:rPr>
                <w:rFonts w:ascii="Arial" w:hAnsi="Arial" w:cs="Arial"/>
                <w:i/>
                <w:iCs/>
                <w:sz w:val="22"/>
                <w:szCs w:val="22"/>
              </w:rPr>
              <w:t>Department of Medicine (RMH), The University of Melbourne, Victoria, Australia</w:t>
            </w:r>
          </w:p>
          <w:p w14:paraId="3B238CBE" w14:textId="77777777" w:rsidR="00AF6EBB" w:rsidRDefault="00AF6EBB" w:rsidP="00AF6EBB">
            <w:pPr>
              <w:rPr>
                <w:rFonts w:ascii="Arial" w:hAnsi="Arial" w:cs="Arial"/>
                <w:i/>
                <w:iCs/>
                <w:sz w:val="22"/>
                <w:szCs w:val="22"/>
              </w:rPr>
            </w:pPr>
            <w:r w:rsidRPr="00AF6EBB">
              <w:rPr>
                <w:rFonts w:ascii="Arial" w:hAnsi="Arial" w:cs="Arial"/>
                <w:i/>
                <w:iCs/>
                <w:sz w:val="22"/>
                <w:szCs w:val="22"/>
                <w:vertAlign w:val="superscript"/>
              </w:rPr>
              <w:t>9</w:t>
            </w:r>
            <w:r>
              <w:rPr>
                <w:rFonts w:ascii="Arial" w:hAnsi="Arial" w:cs="Arial"/>
                <w:i/>
                <w:iCs/>
                <w:sz w:val="22"/>
                <w:szCs w:val="22"/>
              </w:rPr>
              <w:t>Department of Internal Medicine, Peter MacCallum Cancer Centre, Victoria, Australia</w:t>
            </w:r>
          </w:p>
          <w:p w14:paraId="18EC18D2" w14:textId="77777777" w:rsidR="00AF6EBB" w:rsidRDefault="00AF6EBB" w:rsidP="00AF6EBB">
            <w:pPr>
              <w:rPr>
                <w:rFonts w:ascii="Arial" w:hAnsi="Arial" w:cs="Arial"/>
                <w:i/>
                <w:iCs/>
                <w:sz w:val="22"/>
                <w:szCs w:val="22"/>
              </w:rPr>
            </w:pPr>
            <w:r w:rsidRPr="00AF6EBB">
              <w:rPr>
                <w:rFonts w:ascii="Arial" w:hAnsi="Arial" w:cs="Arial"/>
                <w:i/>
                <w:iCs/>
                <w:sz w:val="22"/>
                <w:szCs w:val="22"/>
                <w:vertAlign w:val="superscript"/>
              </w:rPr>
              <w:t>10</w:t>
            </w:r>
            <w:r>
              <w:rPr>
                <w:rFonts w:ascii="Arial" w:hAnsi="Arial" w:cs="Arial"/>
                <w:i/>
                <w:iCs/>
                <w:sz w:val="22"/>
                <w:szCs w:val="22"/>
              </w:rPr>
              <w:t>Department of Respiratory Medicine, Sir Charles Gairdner Hospital, Western Australia, Australia</w:t>
            </w:r>
          </w:p>
          <w:p w14:paraId="18D71A8B" w14:textId="77777777" w:rsidR="00AF6EBB" w:rsidRDefault="00AF6EBB" w:rsidP="00AF6EBB">
            <w:pPr>
              <w:rPr>
                <w:rFonts w:ascii="Arial" w:hAnsi="Arial" w:cs="Arial"/>
                <w:i/>
                <w:iCs/>
                <w:sz w:val="22"/>
                <w:szCs w:val="22"/>
              </w:rPr>
            </w:pPr>
            <w:r w:rsidRPr="00AF6EBB">
              <w:rPr>
                <w:rFonts w:ascii="Arial" w:hAnsi="Arial" w:cs="Arial"/>
                <w:i/>
                <w:iCs/>
                <w:sz w:val="22"/>
                <w:szCs w:val="22"/>
                <w:vertAlign w:val="superscript"/>
              </w:rPr>
              <w:t>11</w:t>
            </w:r>
            <w:r>
              <w:rPr>
                <w:rFonts w:ascii="Arial" w:hAnsi="Arial" w:cs="Arial"/>
                <w:i/>
                <w:iCs/>
                <w:sz w:val="22"/>
                <w:szCs w:val="22"/>
              </w:rPr>
              <w:t>Curtin Medical School, Curtin University, Western Australia, Australia</w:t>
            </w:r>
          </w:p>
          <w:p w14:paraId="542E2A92" w14:textId="68017AD7" w:rsidR="00AF6EBB" w:rsidRDefault="00AF6EBB" w:rsidP="00AF6EBB">
            <w:pPr>
              <w:rPr>
                <w:rFonts w:ascii="Arial" w:hAnsi="Arial" w:cs="Arial"/>
                <w:i/>
                <w:iCs/>
                <w:sz w:val="22"/>
                <w:szCs w:val="22"/>
              </w:rPr>
            </w:pPr>
            <w:r>
              <w:rPr>
                <w:rFonts w:ascii="Arial" w:hAnsi="Arial" w:cs="Arial"/>
                <w:i/>
                <w:iCs/>
                <w:sz w:val="22"/>
                <w:szCs w:val="22"/>
                <w:vertAlign w:val="superscript"/>
              </w:rPr>
              <w:t>12</w:t>
            </w:r>
            <w:r>
              <w:rPr>
                <w:rFonts w:ascii="Arial" w:hAnsi="Arial" w:cs="Arial"/>
                <w:i/>
                <w:iCs/>
                <w:sz w:val="22"/>
                <w:szCs w:val="22"/>
              </w:rPr>
              <w:t xml:space="preserve">Department of Respiratory Medicine, Fiona Stanley Hospital, Western Australia, </w:t>
            </w:r>
            <w:proofErr w:type="spellStart"/>
            <w:r>
              <w:rPr>
                <w:rFonts w:ascii="Arial" w:hAnsi="Arial" w:cs="Arial"/>
                <w:i/>
                <w:iCs/>
                <w:sz w:val="22"/>
                <w:szCs w:val="22"/>
              </w:rPr>
              <w:t>Australie</w:t>
            </w:r>
            <w:proofErr w:type="spellEnd"/>
          </w:p>
          <w:p w14:paraId="4079E4D0" w14:textId="77777777" w:rsidR="00AF6EBB" w:rsidRDefault="00AF6EBB" w:rsidP="00AF6EBB">
            <w:pPr>
              <w:rPr>
                <w:rFonts w:ascii="Arial" w:hAnsi="Arial" w:cs="Arial"/>
                <w:i/>
                <w:iCs/>
                <w:sz w:val="22"/>
                <w:szCs w:val="22"/>
              </w:rPr>
            </w:pPr>
            <w:r w:rsidRPr="00AF6EBB">
              <w:rPr>
                <w:rFonts w:ascii="Arial" w:hAnsi="Arial" w:cs="Arial"/>
                <w:i/>
                <w:iCs/>
                <w:sz w:val="22"/>
                <w:szCs w:val="22"/>
                <w:vertAlign w:val="superscript"/>
              </w:rPr>
              <w:t>1</w:t>
            </w:r>
            <w:r>
              <w:rPr>
                <w:rFonts w:ascii="Arial" w:hAnsi="Arial" w:cs="Arial"/>
                <w:i/>
                <w:iCs/>
                <w:sz w:val="22"/>
                <w:szCs w:val="22"/>
                <w:vertAlign w:val="superscript"/>
              </w:rPr>
              <w:t>3</w:t>
            </w:r>
            <w:r>
              <w:rPr>
                <w:rFonts w:ascii="Arial" w:hAnsi="Arial" w:cs="Arial"/>
                <w:i/>
                <w:iCs/>
                <w:sz w:val="22"/>
                <w:szCs w:val="22"/>
              </w:rPr>
              <w:t>The University of Western Australia, Western Australia, Australia</w:t>
            </w:r>
          </w:p>
          <w:p w14:paraId="45ED36BF" w14:textId="5FBA5D64" w:rsidR="00AF6EBB" w:rsidRPr="00AF6EBB" w:rsidRDefault="00AF6EBB" w:rsidP="00AF6EBB">
            <w:pPr>
              <w:rPr>
                <w:rFonts w:ascii="Arial" w:hAnsi="Arial" w:cs="Arial"/>
                <w:i/>
                <w:iCs/>
                <w:sz w:val="22"/>
                <w:szCs w:val="22"/>
              </w:rPr>
            </w:pPr>
            <w:r>
              <w:rPr>
                <w:rFonts w:ascii="Arial" w:hAnsi="Arial" w:cs="Arial"/>
                <w:i/>
                <w:iCs/>
                <w:sz w:val="22"/>
                <w:szCs w:val="22"/>
                <w:vertAlign w:val="superscript"/>
              </w:rPr>
              <w:t>14</w:t>
            </w:r>
            <w:r>
              <w:rPr>
                <w:rFonts w:ascii="Arial" w:hAnsi="Arial" w:cs="Arial"/>
                <w:i/>
                <w:iCs/>
                <w:sz w:val="22"/>
                <w:szCs w:val="22"/>
              </w:rPr>
              <w:t>Sydney Children’s Hospital, Sydney, New South Wales, Australia</w:t>
            </w:r>
          </w:p>
        </w:tc>
      </w:tr>
      <w:tr w:rsidR="001564A4" w:rsidRPr="0050053A" w14:paraId="6DAF615A" w14:textId="77777777" w:rsidTr="00AF6EBB">
        <w:trPr>
          <w:trHeight w:hRule="exact" w:val="11273"/>
          <w:jc w:val="center"/>
        </w:trPr>
        <w:tc>
          <w:tcPr>
            <w:tcW w:w="8726" w:type="dxa"/>
            <w:shd w:val="clear" w:color="auto" w:fill="auto"/>
          </w:tcPr>
          <w:p w14:paraId="739E7937" w14:textId="77777777" w:rsidR="001564A4" w:rsidRPr="0050053A" w:rsidRDefault="001564A4" w:rsidP="000A28E2">
            <w:pPr>
              <w:pStyle w:val="Pa12"/>
              <w:rPr>
                <w:rStyle w:val="A4"/>
              </w:rPr>
            </w:pPr>
            <w:r>
              <w:rPr>
                <w:rStyle w:val="A4"/>
                <w:b/>
                <w:bCs/>
              </w:rPr>
              <w:lastRenderedPageBreak/>
              <w:t>Introduction/</w:t>
            </w:r>
            <w:r w:rsidRPr="0050053A">
              <w:rPr>
                <w:rStyle w:val="A4"/>
                <w:b/>
                <w:bCs/>
              </w:rPr>
              <w:t xml:space="preserve">Aim: </w:t>
            </w:r>
          </w:p>
          <w:p w14:paraId="5F7996E6" w14:textId="77777777" w:rsidR="00AF6EBB" w:rsidRPr="005409D2" w:rsidRDefault="00AF6EBB" w:rsidP="00AF6EBB">
            <w:pPr>
              <w:rPr>
                <w:rFonts w:ascii="Arial" w:hAnsi="Arial" w:cs="Arial"/>
                <w:sz w:val="22"/>
                <w:szCs w:val="22"/>
              </w:rPr>
            </w:pPr>
            <w:r w:rsidRPr="005409D2">
              <w:rPr>
                <w:rFonts w:ascii="Arial" w:hAnsi="Arial" w:cs="Arial"/>
                <w:sz w:val="22"/>
                <w:szCs w:val="22"/>
              </w:rPr>
              <w:t>Incidental findings (IF) are frequently identified on screening low-dose computed-topography (LDCT) scans performed in high-risk smokers to detect lung nodules. Standardisation for reporting of lung nodules exists however standardised methods for reporting IF are lacking. We aimed to describe commonly reported IF and compare variability in reporting of IF using LDCT performed for the International Lung Screen Trial (ILST) at two scan time-points.</w:t>
            </w: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5029BAE6" w14:textId="2FB9D1BC" w:rsidR="001564A4" w:rsidRPr="00AF6EBB" w:rsidRDefault="00AF6EBB" w:rsidP="00AF6EBB">
            <w:pPr>
              <w:rPr>
                <w:rStyle w:val="A4"/>
                <w:rFonts w:ascii="Arial" w:hAnsi="Arial" w:cs="Arial"/>
                <w:color w:val="auto"/>
              </w:rPr>
            </w:pPr>
            <w:r w:rsidRPr="005409D2">
              <w:rPr>
                <w:rFonts w:ascii="Arial" w:hAnsi="Arial" w:cs="Arial"/>
                <w:sz w:val="22"/>
                <w:szCs w:val="22"/>
              </w:rPr>
              <w:t>Eligible participants recruited for lung cancer screen at St Vincent’s Hospital, Sydney as part of the ILST (</w:t>
            </w:r>
            <w:hyperlink r:id="rId7" w:history="1">
              <w:r w:rsidRPr="005409D2">
                <w:rPr>
                  <w:rStyle w:val="Hyperlink"/>
                  <w:rFonts w:ascii="Arial" w:hAnsi="Arial" w:cs="Arial"/>
                  <w:sz w:val="22"/>
                  <w:szCs w:val="22"/>
                </w:rPr>
                <w:t>www.clinica</w:t>
              </w:r>
              <w:r w:rsidRPr="005409D2">
                <w:rPr>
                  <w:rStyle w:val="Hyperlink"/>
                  <w:rFonts w:ascii="Arial" w:hAnsi="Arial" w:cs="Arial"/>
                  <w:sz w:val="22"/>
                  <w:szCs w:val="22"/>
                </w:rPr>
                <w:t>l</w:t>
              </w:r>
              <w:r w:rsidRPr="005409D2">
                <w:rPr>
                  <w:rStyle w:val="Hyperlink"/>
                  <w:rFonts w:ascii="Arial" w:hAnsi="Arial" w:cs="Arial"/>
                  <w:sz w:val="22"/>
                  <w:szCs w:val="22"/>
                </w:rPr>
                <w:t>tials.gov</w:t>
              </w:r>
            </w:hyperlink>
            <w:r w:rsidRPr="005409D2">
              <w:rPr>
                <w:rFonts w:ascii="Arial" w:hAnsi="Arial" w:cs="Arial"/>
                <w:sz w:val="22"/>
                <w:szCs w:val="22"/>
              </w:rPr>
              <w:t>, NCT02871856) had LDCT at baseline and 2 years with prospective reporting of IF. The LDCT reports were reviewed to identify IF grouped into the following categories: emphysema, lung fibrosis, lymph node changes, pleural changes, cardiac findings, upper abdomen findings or other. The reporting of IF in the same patients were compared between their two LCDT using Fleiss kappa coefficient.</w:t>
            </w:r>
          </w:p>
          <w:p w14:paraId="6BF3F094" w14:textId="77777777" w:rsidR="001564A4" w:rsidRPr="0050053A" w:rsidRDefault="001564A4" w:rsidP="000A28E2">
            <w:pPr>
              <w:pStyle w:val="Pa12"/>
              <w:rPr>
                <w:rStyle w:val="A4"/>
                <w:b/>
                <w:bCs/>
              </w:rPr>
            </w:pPr>
            <w:r w:rsidRPr="0050053A">
              <w:rPr>
                <w:rStyle w:val="A4"/>
                <w:b/>
                <w:bCs/>
              </w:rPr>
              <w:t xml:space="preserve">Results: </w:t>
            </w:r>
          </w:p>
          <w:p w14:paraId="0CE5C23D" w14:textId="77777777" w:rsidR="00AF6EBB" w:rsidRDefault="00AF6EBB" w:rsidP="00AF6EBB">
            <w:pPr>
              <w:rPr>
                <w:rFonts w:ascii="Arial" w:hAnsi="Arial" w:cs="Arial"/>
                <w:sz w:val="22"/>
                <w:szCs w:val="22"/>
              </w:rPr>
            </w:pPr>
            <w:r w:rsidRPr="005409D2">
              <w:rPr>
                <w:rFonts w:ascii="Arial" w:hAnsi="Arial" w:cs="Arial"/>
                <w:sz w:val="22"/>
                <w:szCs w:val="22"/>
              </w:rPr>
              <w:t xml:space="preserve">335 </w:t>
            </w:r>
            <w:r>
              <w:rPr>
                <w:rFonts w:ascii="Arial" w:hAnsi="Arial" w:cs="Arial"/>
                <w:sz w:val="22"/>
                <w:szCs w:val="22"/>
              </w:rPr>
              <w:t>participants</w:t>
            </w:r>
            <w:r w:rsidRPr="005409D2">
              <w:rPr>
                <w:rFonts w:ascii="Arial" w:hAnsi="Arial" w:cs="Arial"/>
                <w:sz w:val="22"/>
                <w:szCs w:val="22"/>
              </w:rPr>
              <w:t xml:space="preserve"> were included for review with two LDCT performed in 239 </w:t>
            </w:r>
            <w:r>
              <w:rPr>
                <w:rFonts w:ascii="Arial" w:hAnsi="Arial" w:cs="Arial"/>
                <w:sz w:val="22"/>
                <w:szCs w:val="22"/>
              </w:rPr>
              <w:t>participants</w:t>
            </w:r>
            <w:r w:rsidRPr="005409D2">
              <w:rPr>
                <w:rFonts w:ascii="Arial" w:hAnsi="Arial" w:cs="Arial"/>
                <w:sz w:val="22"/>
                <w:szCs w:val="22"/>
              </w:rPr>
              <w:t xml:space="preserve"> following patient dropout (124 female; 124 former</w:t>
            </w:r>
            <w:r>
              <w:rPr>
                <w:rFonts w:ascii="Arial" w:hAnsi="Arial" w:cs="Arial"/>
                <w:sz w:val="22"/>
                <w:szCs w:val="22"/>
              </w:rPr>
              <w:t xml:space="preserve"> and</w:t>
            </w:r>
            <w:r w:rsidRPr="005409D2">
              <w:rPr>
                <w:rFonts w:ascii="Arial" w:hAnsi="Arial" w:cs="Arial"/>
                <w:sz w:val="22"/>
                <w:szCs w:val="22"/>
              </w:rPr>
              <w:t xml:space="preserve"> 115 current smokers; </w:t>
            </w:r>
            <w:proofErr w:type="spellStart"/>
            <w:r w:rsidRPr="005409D2">
              <w:rPr>
                <w:rFonts w:ascii="Arial" w:hAnsi="Arial" w:cs="Arial"/>
                <w:sz w:val="22"/>
                <w:szCs w:val="22"/>
              </w:rPr>
              <w:t>mean</w:t>
            </w:r>
            <w:r>
              <w:rPr>
                <w:rFonts w:ascii="Arial" w:hAnsi="Arial" w:cs="Arial"/>
                <w:sz w:val="22"/>
                <w:szCs w:val="22"/>
              </w:rPr>
              <w:t>±</w:t>
            </w:r>
            <w:r w:rsidRPr="005409D2">
              <w:rPr>
                <w:rFonts w:ascii="Arial" w:hAnsi="Arial" w:cs="Arial"/>
                <w:sz w:val="22"/>
                <w:szCs w:val="22"/>
              </w:rPr>
              <w:t>SD</w:t>
            </w:r>
            <w:proofErr w:type="spellEnd"/>
            <w:r w:rsidRPr="005409D2">
              <w:rPr>
                <w:rFonts w:ascii="Arial" w:hAnsi="Arial" w:cs="Arial"/>
                <w:sz w:val="22"/>
                <w:szCs w:val="22"/>
              </w:rPr>
              <w:t xml:space="preserve"> smoking pack-years 48.2</w:t>
            </w:r>
            <w:r>
              <w:rPr>
                <w:rFonts w:ascii="Arial" w:hAnsi="Arial" w:cs="Arial"/>
                <w:sz w:val="22"/>
                <w:szCs w:val="22"/>
              </w:rPr>
              <w:t>±</w:t>
            </w:r>
            <w:r w:rsidRPr="005409D2">
              <w:rPr>
                <w:rFonts w:ascii="Arial" w:hAnsi="Arial" w:cs="Arial"/>
                <w:sz w:val="22"/>
                <w:szCs w:val="22"/>
              </w:rPr>
              <w:t>22.1; age 64</w:t>
            </w:r>
            <w:r>
              <w:rPr>
                <w:rFonts w:ascii="Arial" w:hAnsi="Arial" w:cs="Arial"/>
                <w:sz w:val="22"/>
                <w:szCs w:val="22"/>
              </w:rPr>
              <w:t>±</w:t>
            </w:r>
            <w:r w:rsidRPr="005409D2">
              <w:rPr>
                <w:rFonts w:ascii="Arial" w:hAnsi="Arial" w:cs="Arial"/>
                <w:sz w:val="22"/>
                <w:szCs w:val="22"/>
              </w:rPr>
              <w:t xml:space="preserve">6.1 years). </w:t>
            </w:r>
            <w:r>
              <w:rPr>
                <w:rFonts w:ascii="Arial" w:hAnsi="Arial" w:cs="Arial"/>
                <w:sz w:val="22"/>
                <w:szCs w:val="22"/>
              </w:rPr>
              <w:t>At time-point one, any IF was reported in 275/335 (82.1%) participants</w:t>
            </w:r>
            <w:r w:rsidRPr="005409D2">
              <w:rPr>
                <w:rFonts w:ascii="Arial" w:hAnsi="Arial" w:cs="Arial"/>
                <w:sz w:val="22"/>
                <w:szCs w:val="22"/>
              </w:rPr>
              <w:t xml:space="preserve">. </w:t>
            </w:r>
            <w:r>
              <w:rPr>
                <w:rFonts w:ascii="Arial" w:hAnsi="Arial" w:cs="Arial"/>
                <w:sz w:val="22"/>
                <w:szCs w:val="22"/>
              </w:rPr>
              <w:t>There was at least moderate concordance in the reporting of IF between time-points one and two in the same participant.</w:t>
            </w:r>
            <w:r w:rsidRPr="005409D2">
              <w:rPr>
                <w:rFonts w:ascii="Arial" w:hAnsi="Arial" w:cs="Arial"/>
                <w:sz w:val="22"/>
                <w:szCs w:val="22"/>
              </w:rPr>
              <w:t xml:space="preserve"> </w:t>
            </w:r>
          </w:p>
          <w:tbl>
            <w:tblPr>
              <w:tblStyle w:val="TableGrid"/>
              <w:tblW w:w="0" w:type="auto"/>
              <w:tblInd w:w="2" w:type="dxa"/>
              <w:tblLayout w:type="fixed"/>
              <w:tblLook w:val="04A0" w:firstRow="1" w:lastRow="0" w:firstColumn="1" w:lastColumn="0" w:noHBand="0" w:noVBand="1"/>
            </w:tblPr>
            <w:tblGrid>
              <w:gridCol w:w="1574"/>
              <w:gridCol w:w="1558"/>
              <w:gridCol w:w="1557"/>
              <w:gridCol w:w="2691"/>
              <w:gridCol w:w="1025"/>
            </w:tblGrid>
            <w:tr w:rsidR="00AF6EBB" w14:paraId="4B934B61" w14:textId="77777777" w:rsidTr="00AF6EBB">
              <w:trPr>
                <w:trHeight w:val="693"/>
              </w:trPr>
              <w:tc>
                <w:tcPr>
                  <w:tcW w:w="1574" w:type="dxa"/>
                </w:tcPr>
                <w:p w14:paraId="655953A8" w14:textId="77777777" w:rsidR="00AF6EBB" w:rsidRDefault="00AF6EBB" w:rsidP="00AF6EBB">
                  <w:pPr>
                    <w:rPr>
                      <w:rFonts w:ascii="Arial" w:hAnsi="Arial" w:cs="Arial"/>
                      <w:sz w:val="22"/>
                      <w:szCs w:val="22"/>
                    </w:rPr>
                  </w:pPr>
                  <w:r>
                    <w:rPr>
                      <w:rFonts w:ascii="Arial" w:hAnsi="Arial" w:cs="Arial"/>
                      <w:sz w:val="22"/>
                      <w:szCs w:val="22"/>
                    </w:rPr>
                    <w:t>N=239</w:t>
                  </w:r>
                </w:p>
              </w:tc>
              <w:tc>
                <w:tcPr>
                  <w:tcW w:w="1558" w:type="dxa"/>
                </w:tcPr>
                <w:p w14:paraId="2EEB4865" w14:textId="77777777" w:rsidR="00AF6EBB" w:rsidRDefault="00AF6EBB" w:rsidP="00AF6EBB">
                  <w:pPr>
                    <w:rPr>
                      <w:rFonts w:ascii="Arial" w:hAnsi="Arial" w:cs="Arial"/>
                      <w:sz w:val="22"/>
                      <w:szCs w:val="22"/>
                    </w:rPr>
                  </w:pPr>
                  <w:r>
                    <w:rPr>
                      <w:rFonts w:ascii="Arial" w:hAnsi="Arial" w:cs="Arial"/>
                      <w:sz w:val="22"/>
                      <w:szCs w:val="22"/>
                    </w:rPr>
                    <w:t>Time-point one</w:t>
                  </w:r>
                </w:p>
              </w:tc>
              <w:tc>
                <w:tcPr>
                  <w:tcW w:w="1557" w:type="dxa"/>
                </w:tcPr>
                <w:p w14:paraId="134527E8" w14:textId="77777777" w:rsidR="00AF6EBB" w:rsidRDefault="00AF6EBB" w:rsidP="00AF6EBB">
                  <w:pPr>
                    <w:rPr>
                      <w:rFonts w:ascii="Arial" w:hAnsi="Arial" w:cs="Arial"/>
                      <w:sz w:val="22"/>
                      <w:szCs w:val="22"/>
                    </w:rPr>
                  </w:pPr>
                  <w:r>
                    <w:rPr>
                      <w:rFonts w:ascii="Arial" w:hAnsi="Arial" w:cs="Arial"/>
                      <w:sz w:val="22"/>
                      <w:szCs w:val="22"/>
                    </w:rPr>
                    <w:t>Time-point two</w:t>
                  </w:r>
                </w:p>
              </w:tc>
              <w:tc>
                <w:tcPr>
                  <w:tcW w:w="2691" w:type="dxa"/>
                </w:tcPr>
                <w:p w14:paraId="5F18A142" w14:textId="77777777" w:rsidR="00AF6EBB" w:rsidRDefault="00AF6EBB" w:rsidP="00AF6EBB">
                  <w:pPr>
                    <w:rPr>
                      <w:rFonts w:ascii="Arial" w:hAnsi="Arial" w:cs="Arial"/>
                      <w:sz w:val="22"/>
                      <w:szCs w:val="22"/>
                    </w:rPr>
                  </w:pPr>
                  <w:r>
                    <w:rPr>
                      <w:rFonts w:ascii="Arial" w:hAnsi="Arial" w:cs="Arial"/>
                      <w:sz w:val="22"/>
                      <w:szCs w:val="22"/>
                    </w:rPr>
                    <w:t>Fleiss kappa coefficient (95%CI)</w:t>
                  </w:r>
                </w:p>
              </w:tc>
              <w:tc>
                <w:tcPr>
                  <w:tcW w:w="1025" w:type="dxa"/>
                </w:tcPr>
                <w:p w14:paraId="4EEF40BC" w14:textId="77777777" w:rsidR="00AF6EBB" w:rsidRDefault="00AF6EBB" w:rsidP="00AF6EBB">
                  <w:pPr>
                    <w:rPr>
                      <w:rFonts w:ascii="Arial" w:hAnsi="Arial" w:cs="Arial"/>
                      <w:sz w:val="22"/>
                      <w:szCs w:val="22"/>
                    </w:rPr>
                  </w:pPr>
                  <w:r>
                    <w:rPr>
                      <w:rFonts w:ascii="Arial" w:hAnsi="Arial" w:cs="Arial"/>
                      <w:sz w:val="22"/>
                      <w:szCs w:val="22"/>
                    </w:rPr>
                    <w:t>P-value</w:t>
                  </w:r>
                </w:p>
              </w:tc>
            </w:tr>
            <w:tr w:rsidR="00AF6EBB" w14:paraId="35592CAE" w14:textId="77777777" w:rsidTr="00AF6EBB">
              <w:trPr>
                <w:trHeight w:val="361"/>
              </w:trPr>
              <w:tc>
                <w:tcPr>
                  <w:tcW w:w="1574" w:type="dxa"/>
                </w:tcPr>
                <w:p w14:paraId="6CBFB555" w14:textId="77777777" w:rsidR="00AF6EBB" w:rsidRDefault="00AF6EBB" w:rsidP="00AF6EBB">
                  <w:pPr>
                    <w:rPr>
                      <w:rFonts w:ascii="Arial" w:hAnsi="Arial" w:cs="Arial"/>
                      <w:sz w:val="22"/>
                      <w:szCs w:val="22"/>
                    </w:rPr>
                  </w:pPr>
                  <w:r>
                    <w:rPr>
                      <w:rFonts w:ascii="Arial" w:hAnsi="Arial" w:cs="Arial"/>
                      <w:sz w:val="22"/>
                      <w:szCs w:val="22"/>
                    </w:rPr>
                    <w:t>Emphysema</w:t>
                  </w:r>
                </w:p>
              </w:tc>
              <w:tc>
                <w:tcPr>
                  <w:tcW w:w="1558" w:type="dxa"/>
                </w:tcPr>
                <w:p w14:paraId="119C69B4" w14:textId="77777777" w:rsidR="00AF6EBB" w:rsidRDefault="00AF6EBB" w:rsidP="00AF6EBB">
                  <w:pPr>
                    <w:rPr>
                      <w:rFonts w:ascii="Arial" w:hAnsi="Arial" w:cs="Arial"/>
                      <w:sz w:val="22"/>
                      <w:szCs w:val="22"/>
                    </w:rPr>
                  </w:pPr>
                  <w:r>
                    <w:rPr>
                      <w:rFonts w:ascii="Arial" w:hAnsi="Arial" w:cs="Arial"/>
                      <w:sz w:val="22"/>
                      <w:szCs w:val="22"/>
                    </w:rPr>
                    <w:t>123 (51.5%)</w:t>
                  </w:r>
                </w:p>
              </w:tc>
              <w:tc>
                <w:tcPr>
                  <w:tcW w:w="1557" w:type="dxa"/>
                </w:tcPr>
                <w:p w14:paraId="388FE08E" w14:textId="77777777" w:rsidR="00AF6EBB" w:rsidRDefault="00AF6EBB" w:rsidP="00AF6EBB">
                  <w:pPr>
                    <w:rPr>
                      <w:rFonts w:ascii="Arial" w:hAnsi="Arial" w:cs="Arial"/>
                      <w:sz w:val="22"/>
                      <w:szCs w:val="22"/>
                    </w:rPr>
                  </w:pPr>
                  <w:r>
                    <w:rPr>
                      <w:rFonts w:ascii="Arial" w:hAnsi="Arial" w:cs="Arial"/>
                      <w:sz w:val="22"/>
                      <w:szCs w:val="22"/>
                    </w:rPr>
                    <w:t>137 (57.3%)</w:t>
                  </w:r>
                </w:p>
              </w:tc>
              <w:tc>
                <w:tcPr>
                  <w:tcW w:w="2691" w:type="dxa"/>
                </w:tcPr>
                <w:p w14:paraId="02A669FA" w14:textId="77777777" w:rsidR="00AF6EBB" w:rsidRDefault="00AF6EBB" w:rsidP="00AF6EBB">
                  <w:pPr>
                    <w:rPr>
                      <w:rFonts w:ascii="Arial" w:hAnsi="Arial" w:cs="Arial"/>
                      <w:sz w:val="22"/>
                      <w:szCs w:val="22"/>
                    </w:rPr>
                  </w:pPr>
                  <w:r>
                    <w:rPr>
                      <w:rFonts w:ascii="Arial" w:hAnsi="Arial" w:cs="Arial"/>
                      <w:sz w:val="22"/>
                      <w:szCs w:val="22"/>
                    </w:rPr>
                    <w:t>0.85 (0.72-0.97)</w:t>
                  </w:r>
                </w:p>
              </w:tc>
              <w:tc>
                <w:tcPr>
                  <w:tcW w:w="1025" w:type="dxa"/>
                </w:tcPr>
                <w:p w14:paraId="453C4CC0" w14:textId="77777777" w:rsidR="00AF6EBB" w:rsidRDefault="00AF6EBB" w:rsidP="00AF6EBB">
                  <w:pPr>
                    <w:rPr>
                      <w:rFonts w:ascii="Arial" w:hAnsi="Arial" w:cs="Arial"/>
                      <w:sz w:val="22"/>
                      <w:szCs w:val="22"/>
                    </w:rPr>
                  </w:pPr>
                  <w:r>
                    <w:rPr>
                      <w:rFonts w:ascii="Arial" w:hAnsi="Arial" w:cs="Arial"/>
                      <w:sz w:val="22"/>
                      <w:szCs w:val="22"/>
                    </w:rPr>
                    <w:t>&lt;0.0001</w:t>
                  </w:r>
                </w:p>
              </w:tc>
            </w:tr>
            <w:tr w:rsidR="00AF6EBB" w14:paraId="50EB4767" w14:textId="77777777" w:rsidTr="00AF6EBB">
              <w:trPr>
                <w:trHeight w:val="361"/>
              </w:trPr>
              <w:tc>
                <w:tcPr>
                  <w:tcW w:w="1574" w:type="dxa"/>
                </w:tcPr>
                <w:p w14:paraId="3913F244" w14:textId="77777777" w:rsidR="00AF6EBB" w:rsidRDefault="00AF6EBB" w:rsidP="00AF6EBB">
                  <w:pPr>
                    <w:rPr>
                      <w:rFonts w:ascii="Arial" w:hAnsi="Arial" w:cs="Arial"/>
                      <w:sz w:val="22"/>
                      <w:szCs w:val="22"/>
                    </w:rPr>
                  </w:pPr>
                  <w:r>
                    <w:rPr>
                      <w:rFonts w:ascii="Arial" w:hAnsi="Arial" w:cs="Arial"/>
                      <w:sz w:val="22"/>
                      <w:szCs w:val="22"/>
                    </w:rPr>
                    <w:t>Lung fibrosis</w:t>
                  </w:r>
                </w:p>
              </w:tc>
              <w:tc>
                <w:tcPr>
                  <w:tcW w:w="1558" w:type="dxa"/>
                </w:tcPr>
                <w:p w14:paraId="4D41F97D" w14:textId="77777777" w:rsidR="00AF6EBB" w:rsidRDefault="00AF6EBB" w:rsidP="00AF6EBB">
                  <w:pPr>
                    <w:rPr>
                      <w:rFonts w:ascii="Arial" w:hAnsi="Arial" w:cs="Arial"/>
                      <w:sz w:val="22"/>
                      <w:szCs w:val="22"/>
                    </w:rPr>
                  </w:pPr>
                  <w:r>
                    <w:rPr>
                      <w:rFonts w:ascii="Arial" w:hAnsi="Arial" w:cs="Arial"/>
                      <w:sz w:val="22"/>
                      <w:szCs w:val="22"/>
                    </w:rPr>
                    <w:t>24 (10.0%)</w:t>
                  </w:r>
                </w:p>
              </w:tc>
              <w:tc>
                <w:tcPr>
                  <w:tcW w:w="1557" w:type="dxa"/>
                </w:tcPr>
                <w:p w14:paraId="770D01A1" w14:textId="77777777" w:rsidR="00AF6EBB" w:rsidRDefault="00AF6EBB" w:rsidP="00AF6EBB">
                  <w:pPr>
                    <w:rPr>
                      <w:rFonts w:ascii="Arial" w:hAnsi="Arial" w:cs="Arial"/>
                      <w:sz w:val="22"/>
                      <w:szCs w:val="22"/>
                    </w:rPr>
                  </w:pPr>
                  <w:r>
                    <w:rPr>
                      <w:rFonts w:ascii="Arial" w:hAnsi="Arial" w:cs="Arial"/>
                      <w:sz w:val="22"/>
                      <w:szCs w:val="22"/>
                    </w:rPr>
                    <w:t>26 (10.9%)</w:t>
                  </w:r>
                </w:p>
              </w:tc>
              <w:tc>
                <w:tcPr>
                  <w:tcW w:w="2691" w:type="dxa"/>
                </w:tcPr>
                <w:p w14:paraId="490479CB" w14:textId="77777777" w:rsidR="00AF6EBB" w:rsidRDefault="00AF6EBB" w:rsidP="00AF6EBB">
                  <w:pPr>
                    <w:rPr>
                      <w:rFonts w:ascii="Arial" w:hAnsi="Arial" w:cs="Arial"/>
                      <w:sz w:val="22"/>
                      <w:szCs w:val="22"/>
                    </w:rPr>
                  </w:pPr>
                  <w:r>
                    <w:rPr>
                      <w:rFonts w:ascii="Arial" w:hAnsi="Arial" w:cs="Arial"/>
                      <w:sz w:val="22"/>
                      <w:szCs w:val="22"/>
                    </w:rPr>
                    <w:t>0.64 (0.52-0.77)</w:t>
                  </w:r>
                </w:p>
              </w:tc>
              <w:tc>
                <w:tcPr>
                  <w:tcW w:w="1025" w:type="dxa"/>
                </w:tcPr>
                <w:p w14:paraId="4BC147C6" w14:textId="77777777" w:rsidR="00AF6EBB" w:rsidRDefault="00AF6EBB" w:rsidP="00AF6EBB">
                  <w:pPr>
                    <w:rPr>
                      <w:rFonts w:ascii="Arial" w:hAnsi="Arial" w:cs="Arial"/>
                      <w:sz w:val="22"/>
                      <w:szCs w:val="22"/>
                    </w:rPr>
                  </w:pPr>
                  <w:r>
                    <w:rPr>
                      <w:rFonts w:ascii="Arial" w:hAnsi="Arial" w:cs="Arial"/>
                      <w:sz w:val="22"/>
                      <w:szCs w:val="22"/>
                    </w:rPr>
                    <w:t>&lt;0.0001</w:t>
                  </w:r>
                </w:p>
              </w:tc>
            </w:tr>
            <w:tr w:rsidR="00AF6EBB" w14:paraId="1DAAE7EC" w14:textId="77777777" w:rsidTr="00AF6EBB">
              <w:trPr>
                <w:trHeight w:val="361"/>
              </w:trPr>
              <w:tc>
                <w:tcPr>
                  <w:tcW w:w="1574" w:type="dxa"/>
                </w:tcPr>
                <w:p w14:paraId="6D1F1767" w14:textId="77777777" w:rsidR="00AF6EBB" w:rsidRDefault="00AF6EBB" w:rsidP="00AF6EBB">
                  <w:pPr>
                    <w:rPr>
                      <w:rFonts w:ascii="Arial" w:hAnsi="Arial" w:cs="Arial"/>
                      <w:sz w:val="22"/>
                      <w:szCs w:val="22"/>
                    </w:rPr>
                  </w:pPr>
                  <w:r>
                    <w:rPr>
                      <w:rFonts w:ascii="Arial" w:hAnsi="Arial" w:cs="Arial"/>
                      <w:sz w:val="22"/>
                      <w:szCs w:val="22"/>
                    </w:rPr>
                    <w:t>Lymph node</w:t>
                  </w:r>
                </w:p>
              </w:tc>
              <w:tc>
                <w:tcPr>
                  <w:tcW w:w="1558" w:type="dxa"/>
                </w:tcPr>
                <w:p w14:paraId="5CD1B437" w14:textId="77777777" w:rsidR="00AF6EBB" w:rsidRDefault="00AF6EBB" w:rsidP="00AF6EBB">
                  <w:pPr>
                    <w:rPr>
                      <w:rFonts w:ascii="Arial" w:hAnsi="Arial" w:cs="Arial"/>
                      <w:sz w:val="22"/>
                      <w:szCs w:val="22"/>
                    </w:rPr>
                  </w:pPr>
                  <w:r>
                    <w:rPr>
                      <w:rFonts w:ascii="Arial" w:hAnsi="Arial" w:cs="Arial"/>
                      <w:sz w:val="22"/>
                      <w:szCs w:val="22"/>
                    </w:rPr>
                    <w:t>15 (6.3%)</w:t>
                  </w:r>
                </w:p>
              </w:tc>
              <w:tc>
                <w:tcPr>
                  <w:tcW w:w="1557" w:type="dxa"/>
                </w:tcPr>
                <w:p w14:paraId="73FB8E19" w14:textId="77777777" w:rsidR="00AF6EBB" w:rsidRDefault="00AF6EBB" w:rsidP="00AF6EBB">
                  <w:pPr>
                    <w:rPr>
                      <w:rFonts w:ascii="Arial" w:hAnsi="Arial" w:cs="Arial"/>
                      <w:sz w:val="22"/>
                      <w:szCs w:val="22"/>
                    </w:rPr>
                  </w:pPr>
                  <w:r>
                    <w:rPr>
                      <w:rFonts w:ascii="Arial" w:hAnsi="Arial" w:cs="Arial"/>
                      <w:sz w:val="22"/>
                      <w:szCs w:val="22"/>
                    </w:rPr>
                    <w:t>16 (6.7%)</w:t>
                  </w:r>
                </w:p>
              </w:tc>
              <w:tc>
                <w:tcPr>
                  <w:tcW w:w="2691" w:type="dxa"/>
                </w:tcPr>
                <w:p w14:paraId="14875969" w14:textId="77777777" w:rsidR="00AF6EBB" w:rsidRDefault="00AF6EBB" w:rsidP="00AF6EBB">
                  <w:pPr>
                    <w:rPr>
                      <w:rFonts w:ascii="Arial" w:hAnsi="Arial" w:cs="Arial"/>
                      <w:sz w:val="22"/>
                      <w:szCs w:val="22"/>
                    </w:rPr>
                  </w:pPr>
                  <w:r>
                    <w:rPr>
                      <w:rFonts w:ascii="Arial" w:hAnsi="Arial" w:cs="Arial"/>
                      <w:sz w:val="22"/>
                      <w:szCs w:val="22"/>
                    </w:rPr>
                    <w:t>0.62 (0.49-0.74)</w:t>
                  </w:r>
                </w:p>
              </w:tc>
              <w:tc>
                <w:tcPr>
                  <w:tcW w:w="1025" w:type="dxa"/>
                </w:tcPr>
                <w:p w14:paraId="277DBC3B" w14:textId="77777777" w:rsidR="00AF6EBB" w:rsidRDefault="00AF6EBB" w:rsidP="00AF6EBB">
                  <w:pPr>
                    <w:rPr>
                      <w:rFonts w:ascii="Arial" w:hAnsi="Arial" w:cs="Arial"/>
                      <w:sz w:val="22"/>
                      <w:szCs w:val="22"/>
                    </w:rPr>
                  </w:pPr>
                  <w:r>
                    <w:rPr>
                      <w:rFonts w:ascii="Arial" w:hAnsi="Arial" w:cs="Arial"/>
                      <w:sz w:val="22"/>
                      <w:szCs w:val="22"/>
                    </w:rPr>
                    <w:t>&lt;0.0001</w:t>
                  </w:r>
                </w:p>
              </w:tc>
            </w:tr>
            <w:tr w:rsidR="00AF6EBB" w14:paraId="44D921F4" w14:textId="77777777" w:rsidTr="00AF6EBB">
              <w:trPr>
                <w:trHeight w:val="361"/>
              </w:trPr>
              <w:tc>
                <w:tcPr>
                  <w:tcW w:w="1574" w:type="dxa"/>
                </w:tcPr>
                <w:p w14:paraId="408FFCF6" w14:textId="77777777" w:rsidR="00AF6EBB" w:rsidRDefault="00AF6EBB" w:rsidP="00AF6EBB">
                  <w:pPr>
                    <w:rPr>
                      <w:rFonts w:ascii="Arial" w:hAnsi="Arial" w:cs="Arial"/>
                      <w:sz w:val="22"/>
                      <w:szCs w:val="22"/>
                    </w:rPr>
                  </w:pPr>
                  <w:r>
                    <w:rPr>
                      <w:rFonts w:ascii="Arial" w:hAnsi="Arial" w:cs="Arial"/>
                      <w:sz w:val="22"/>
                      <w:szCs w:val="22"/>
                    </w:rPr>
                    <w:t>Pleural</w:t>
                  </w:r>
                </w:p>
              </w:tc>
              <w:tc>
                <w:tcPr>
                  <w:tcW w:w="1558" w:type="dxa"/>
                </w:tcPr>
                <w:p w14:paraId="6EE833FE" w14:textId="77777777" w:rsidR="00AF6EBB" w:rsidRDefault="00AF6EBB" w:rsidP="00AF6EBB">
                  <w:pPr>
                    <w:rPr>
                      <w:rFonts w:ascii="Arial" w:hAnsi="Arial" w:cs="Arial"/>
                      <w:sz w:val="22"/>
                      <w:szCs w:val="22"/>
                    </w:rPr>
                  </w:pPr>
                  <w:r>
                    <w:rPr>
                      <w:rFonts w:ascii="Arial" w:hAnsi="Arial" w:cs="Arial"/>
                      <w:sz w:val="22"/>
                      <w:szCs w:val="22"/>
                    </w:rPr>
                    <w:t>13 (5.4%)</w:t>
                  </w:r>
                </w:p>
              </w:tc>
              <w:tc>
                <w:tcPr>
                  <w:tcW w:w="1557" w:type="dxa"/>
                </w:tcPr>
                <w:p w14:paraId="5D1F942D" w14:textId="77777777" w:rsidR="00AF6EBB" w:rsidRDefault="00AF6EBB" w:rsidP="00AF6EBB">
                  <w:pPr>
                    <w:rPr>
                      <w:rFonts w:ascii="Arial" w:hAnsi="Arial" w:cs="Arial"/>
                      <w:sz w:val="22"/>
                      <w:szCs w:val="22"/>
                    </w:rPr>
                  </w:pPr>
                  <w:r>
                    <w:rPr>
                      <w:rFonts w:ascii="Arial" w:hAnsi="Arial" w:cs="Arial"/>
                      <w:sz w:val="22"/>
                      <w:szCs w:val="22"/>
                    </w:rPr>
                    <w:t>17 (7.1%)</w:t>
                  </w:r>
                </w:p>
              </w:tc>
              <w:tc>
                <w:tcPr>
                  <w:tcW w:w="2691" w:type="dxa"/>
                </w:tcPr>
                <w:p w14:paraId="1F847AC2" w14:textId="77777777" w:rsidR="00AF6EBB" w:rsidRDefault="00AF6EBB" w:rsidP="00AF6EBB">
                  <w:pPr>
                    <w:rPr>
                      <w:rFonts w:ascii="Arial" w:hAnsi="Arial" w:cs="Arial"/>
                      <w:sz w:val="22"/>
                      <w:szCs w:val="22"/>
                    </w:rPr>
                  </w:pPr>
                  <w:r>
                    <w:rPr>
                      <w:rFonts w:ascii="Arial" w:hAnsi="Arial" w:cs="Arial"/>
                      <w:sz w:val="22"/>
                      <w:szCs w:val="22"/>
                    </w:rPr>
                    <w:t>0.64 (0.52-0.77)</w:t>
                  </w:r>
                </w:p>
              </w:tc>
              <w:tc>
                <w:tcPr>
                  <w:tcW w:w="1025" w:type="dxa"/>
                </w:tcPr>
                <w:p w14:paraId="38663A58" w14:textId="77777777" w:rsidR="00AF6EBB" w:rsidRDefault="00AF6EBB" w:rsidP="00AF6EBB">
                  <w:pPr>
                    <w:rPr>
                      <w:rFonts w:ascii="Arial" w:hAnsi="Arial" w:cs="Arial"/>
                      <w:sz w:val="22"/>
                      <w:szCs w:val="22"/>
                    </w:rPr>
                  </w:pPr>
                  <w:r>
                    <w:rPr>
                      <w:rFonts w:ascii="Arial" w:hAnsi="Arial" w:cs="Arial"/>
                      <w:sz w:val="22"/>
                      <w:szCs w:val="22"/>
                    </w:rPr>
                    <w:t>&lt;0.0001</w:t>
                  </w:r>
                </w:p>
              </w:tc>
            </w:tr>
            <w:tr w:rsidR="00AF6EBB" w14:paraId="1ED25C00" w14:textId="77777777" w:rsidTr="00AF6EBB">
              <w:trPr>
                <w:trHeight w:val="361"/>
              </w:trPr>
              <w:tc>
                <w:tcPr>
                  <w:tcW w:w="1574" w:type="dxa"/>
                </w:tcPr>
                <w:p w14:paraId="58F85B44" w14:textId="77777777" w:rsidR="00AF6EBB" w:rsidRDefault="00AF6EBB" w:rsidP="00AF6EBB">
                  <w:pPr>
                    <w:rPr>
                      <w:rFonts w:ascii="Arial" w:hAnsi="Arial" w:cs="Arial"/>
                      <w:sz w:val="22"/>
                      <w:szCs w:val="22"/>
                    </w:rPr>
                  </w:pPr>
                  <w:r>
                    <w:rPr>
                      <w:rFonts w:ascii="Arial" w:hAnsi="Arial" w:cs="Arial"/>
                      <w:sz w:val="22"/>
                      <w:szCs w:val="22"/>
                    </w:rPr>
                    <w:t>Cardiac</w:t>
                  </w:r>
                </w:p>
              </w:tc>
              <w:tc>
                <w:tcPr>
                  <w:tcW w:w="1558" w:type="dxa"/>
                </w:tcPr>
                <w:p w14:paraId="4AD2206F" w14:textId="77777777" w:rsidR="00AF6EBB" w:rsidRDefault="00AF6EBB" w:rsidP="00AF6EBB">
                  <w:pPr>
                    <w:rPr>
                      <w:rFonts w:ascii="Arial" w:hAnsi="Arial" w:cs="Arial"/>
                      <w:sz w:val="22"/>
                      <w:szCs w:val="22"/>
                    </w:rPr>
                  </w:pPr>
                  <w:r>
                    <w:rPr>
                      <w:rFonts w:ascii="Arial" w:hAnsi="Arial" w:cs="Arial"/>
                      <w:sz w:val="22"/>
                      <w:szCs w:val="22"/>
                    </w:rPr>
                    <w:t>42 (17.6%)</w:t>
                  </w:r>
                </w:p>
              </w:tc>
              <w:tc>
                <w:tcPr>
                  <w:tcW w:w="1557" w:type="dxa"/>
                </w:tcPr>
                <w:p w14:paraId="7A332F44" w14:textId="77777777" w:rsidR="00AF6EBB" w:rsidRDefault="00AF6EBB" w:rsidP="00AF6EBB">
                  <w:pPr>
                    <w:rPr>
                      <w:rFonts w:ascii="Arial" w:hAnsi="Arial" w:cs="Arial"/>
                      <w:sz w:val="22"/>
                      <w:szCs w:val="22"/>
                    </w:rPr>
                  </w:pPr>
                  <w:r>
                    <w:rPr>
                      <w:rFonts w:ascii="Arial" w:hAnsi="Arial" w:cs="Arial"/>
                      <w:sz w:val="22"/>
                      <w:szCs w:val="22"/>
                    </w:rPr>
                    <w:t>59 (24.7%)</w:t>
                  </w:r>
                </w:p>
              </w:tc>
              <w:tc>
                <w:tcPr>
                  <w:tcW w:w="2691" w:type="dxa"/>
                </w:tcPr>
                <w:p w14:paraId="18A947F4" w14:textId="77777777" w:rsidR="00AF6EBB" w:rsidRDefault="00AF6EBB" w:rsidP="00AF6EBB">
                  <w:pPr>
                    <w:rPr>
                      <w:rFonts w:ascii="Arial" w:hAnsi="Arial" w:cs="Arial"/>
                      <w:sz w:val="22"/>
                      <w:szCs w:val="22"/>
                    </w:rPr>
                  </w:pPr>
                  <w:r>
                    <w:rPr>
                      <w:rFonts w:ascii="Arial" w:hAnsi="Arial" w:cs="Arial"/>
                      <w:sz w:val="22"/>
                      <w:szCs w:val="22"/>
                    </w:rPr>
                    <w:t>0.43 (0.30-0.56)</w:t>
                  </w:r>
                </w:p>
              </w:tc>
              <w:tc>
                <w:tcPr>
                  <w:tcW w:w="1025" w:type="dxa"/>
                </w:tcPr>
                <w:p w14:paraId="313A260C" w14:textId="77777777" w:rsidR="00AF6EBB" w:rsidRDefault="00AF6EBB" w:rsidP="00AF6EBB">
                  <w:pPr>
                    <w:rPr>
                      <w:rFonts w:ascii="Arial" w:hAnsi="Arial" w:cs="Arial"/>
                      <w:sz w:val="22"/>
                      <w:szCs w:val="22"/>
                    </w:rPr>
                  </w:pPr>
                  <w:r>
                    <w:rPr>
                      <w:rFonts w:ascii="Arial" w:hAnsi="Arial" w:cs="Arial"/>
                      <w:sz w:val="22"/>
                      <w:szCs w:val="22"/>
                    </w:rPr>
                    <w:t>&lt;0.001</w:t>
                  </w:r>
                </w:p>
              </w:tc>
            </w:tr>
            <w:tr w:rsidR="00AF6EBB" w14:paraId="5260C93B" w14:textId="77777777" w:rsidTr="00AF6EBB">
              <w:trPr>
                <w:trHeight w:val="361"/>
              </w:trPr>
              <w:tc>
                <w:tcPr>
                  <w:tcW w:w="1574" w:type="dxa"/>
                </w:tcPr>
                <w:p w14:paraId="072023FA" w14:textId="77777777" w:rsidR="00AF6EBB" w:rsidRDefault="00AF6EBB" w:rsidP="00AF6EBB">
                  <w:pPr>
                    <w:rPr>
                      <w:rFonts w:ascii="Arial" w:hAnsi="Arial" w:cs="Arial"/>
                      <w:sz w:val="22"/>
                      <w:szCs w:val="22"/>
                    </w:rPr>
                  </w:pPr>
                  <w:r>
                    <w:rPr>
                      <w:rFonts w:ascii="Arial" w:hAnsi="Arial" w:cs="Arial"/>
                      <w:sz w:val="22"/>
                      <w:szCs w:val="22"/>
                    </w:rPr>
                    <w:t xml:space="preserve">Upper </w:t>
                  </w:r>
                  <w:proofErr w:type="spellStart"/>
                  <w:r>
                    <w:rPr>
                      <w:rFonts w:ascii="Arial" w:hAnsi="Arial" w:cs="Arial"/>
                      <w:sz w:val="22"/>
                      <w:szCs w:val="22"/>
                    </w:rPr>
                    <w:t>abdo</w:t>
                  </w:r>
                  <w:proofErr w:type="spellEnd"/>
                </w:p>
              </w:tc>
              <w:tc>
                <w:tcPr>
                  <w:tcW w:w="1558" w:type="dxa"/>
                </w:tcPr>
                <w:p w14:paraId="7710D53B" w14:textId="77777777" w:rsidR="00AF6EBB" w:rsidRDefault="00AF6EBB" w:rsidP="00AF6EBB">
                  <w:pPr>
                    <w:rPr>
                      <w:rFonts w:ascii="Arial" w:hAnsi="Arial" w:cs="Arial"/>
                      <w:sz w:val="22"/>
                      <w:szCs w:val="22"/>
                    </w:rPr>
                  </w:pPr>
                  <w:r>
                    <w:rPr>
                      <w:rFonts w:ascii="Arial" w:hAnsi="Arial" w:cs="Arial"/>
                      <w:sz w:val="22"/>
                      <w:szCs w:val="22"/>
                    </w:rPr>
                    <w:t>78 (32.6%)</w:t>
                  </w:r>
                </w:p>
              </w:tc>
              <w:tc>
                <w:tcPr>
                  <w:tcW w:w="1557" w:type="dxa"/>
                </w:tcPr>
                <w:p w14:paraId="5BD1271A" w14:textId="77777777" w:rsidR="00AF6EBB" w:rsidRDefault="00AF6EBB" w:rsidP="00AF6EBB">
                  <w:pPr>
                    <w:rPr>
                      <w:rFonts w:ascii="Arial" w:hAnsi="Arial" w:cs="Arial"/>
                      <w:sz w:val="22"/>
                      <w:szCs w:val="22"/>
                    </w:rPr>
                  </w:pPr>
                  <w:r>
                    <w:rPr>
                      <w:rFonts w:ascii="Arial" w:hAnsi="Arial" w:cs="Arial"/>
                      <w:sz w:val="22"/>
                      <w:szCs w:val="22"/>
                    </w:rPr>
                    <w:t>94 (39.3%)</w:t>
                  </w:r>
                </w:p>
              </w:tc>
              <w:tc>
                <w:tcPr>
                  <w:tcW w:w="2691" w:type="dxa"/>
                </w:tcPr>
                <w:p w14:paraId="01D5F53A" w14:textId="77777777" w:rsidR="00AF6EBB" w:rsidRDefault="00AF6EBB" w:rsidP="00AF6EBB">
                  <w:pPr>
                    <w:rPr>
                      <w:rFonts w:ascii="Arial" w:hAnsi="Arial" w:cs="Arial"/>
                      <w:sz w:val="22"/>
                      <w:szCs w:val="22"/>
                    </w:rPr>
                  </w:pPr>
                  <w:r>
                    <w:rPr>
                      <w:rFonts w:ascii="Arial" w:hAnsi="Arial" w:cs="Arial"/>
                      <w:sz w:val="22"/>
                      <w:szCs w:val="22"/>
                    </w:rPr>
                    <w:t>0.63 (0.50-0.76)</w:t>
                  </w:r>
                </w:p>
              </w:tc>
              <w:tc>
                <w:tcPr>
                  <w:tcW w:w="1025" w:type="dxa"/>
                </w:tcPr>
                <w:p w14:paraId="082D7150" w14:textId="77777777" w:rsidR="00AF6EBB" w:rsidRDefault="00AF6EBB" w:rsidP="00AF6EBB">
                  <w:pPr>
                    <w:rPr>
                      <w:rFonts w:ascii="Arial" w:hAnsi="Arial" w:cs="Arial"/>
                      <w:sz w:val="22"/>
                      <w:szCs w:val="22"/>
                    </w:rPr>
                  </w:pPr>
                  <w:r>
                    <w:rPr>
                      <w:rFonts w:ascii="Arial" w:hAnsi="Arial" w:cs="Arial"/>
                      <w:sz w:val="22"/>
                      <w:szCs w:val="22"/>
                    </w:rPr>
                    <w:t>&lt;0.0001</w:t>
                  </w:r>
                </w:p>
              </w:tc>
            </w:tr>
          </w:tbl>
          <w:p w14:paraId="68537800" w14:textId="6E0833BA" w:rsidR="001564A4" w:rsidRPr="0050053A" w:rsidRDefault="001564A4" w:rsidP="00AF6EBB">
            <w:pPr>
              <w:pStyle w:val="Pa12"/>
              <w:rPr>
                <w:rStyle w:val="A4"/>
                <w:bC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7EE69718" w14:textId="77777777" w:rsidR="00AF6EBB" w:rsidRPr="005409D2" w:rsidRDefault="00AF6EBB" w:rsidP="00AF6EBB">
            <w:pPr>
              <w:rPr>
                <w:rFonts w:ascii="Arial" w:hAnsi="Arial" w:cs="Arial"/>
                <w:sz w:val="22"/>
                <w:szCs w:val="22"/>
              </w:rPr>
            </w:pPr>
            <w:r w:rsidRPr="005409D2">
              <w:rPr>
                <w:rFonts w:ascii="Arial" w:hAnsi="Arial" w:cs="Arial"/>
                <w:sz w:val="22"/>
                <w:szCs w:val="22"/>
              </w:rPr>
              <w:t xml:space="preserve">Reporting of IF in LDCT performed in high-risk smokers demonstrates a range of pulmonary and extra-pulmonary changes with </w:t>
            </w:r>
            <w:r>
              <w:rPr>
                <w:rFonts w:ascii="Arial" w:hAnsi="Arial" w:cs="Arial"/>
                <w:sz w:val="22"/>
                <w:szCs w:val="22"/>
              </w:rPr>
              <w:t>at least moderate</w:t>
            </w:r>
            <w:r w:rsidRPr="005409D2">
              <w:rPr>
                <w:rFonts w:ascii="Arial" w:hAnsi="Arial" w:cs="Arial"/>
                <w:sz w:val="22"/>
                <w:szCs w:val="22"/>
              </w:rPr>
              <w:t xml:space="preserve"> concordance between the two scan timepoints in the same participant. The impact of IF detection and variability in reporting of IF on clinical care is not known. Further analysis and longitudinal studies are required to determine a standardised approach to IF reporting. </w:t>
            </w: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6B8340B2" w:rsidR="001564A4" w:rsidRDefault="00AF6EBB" w:rsidP="000A28E2">
            <w:pPr>
              <w:pStyle w:val="Pa12"/>
              <w:rPr>
                <w:sz w:val="22"/>
                <w:szCs w:val="22"/>
              </w:rPr>
            </w:pPr>
            <w:r>
              <w:rPr>
                <w:sz w:val="22"/>
                <w:szCs w:val="22"/>
              </w:rPr>
              <w:t>Nil</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51574E"/>
    <w:rsid w:val="008803FA"/>
    <w:rsid w:val="00AF6EBB"/>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Hyperlink">
    <w:name w:val="Hyperlink"/>
    <w:basedOn w:val="DefaultParagraphFont"/>
    <w:uiPriority w:val="99"/>
    <w:unhideWhenUsed/>
    <w:rsid w:val="00AF6EBB"/>
    <w:rPr>
      <w:color w:val="0563C1" w:themeColor="hyperlink"/>
      <w:u w:val="single"/>
    </w:rPr>
  </w:style>
  <w:style w:type="character" w:styleId="FollowedHyperlink">
    <w:name w:val="FollowedHyperlink"/>
    <w:basedOn w:val="DefaultParagraphFont"/>
    <w:uiPriority w:val="99"/>
    <w:semiHidden/>
    <w:unhideWhenUsed/>
    <w:rsid w:val="00AF6EBB"/>
    <w:rPr>
      <w:color w:val="954F72" w:themeColor="followedHyperlink"/>
      <w:u w:val="single"/>
    </w:rPr>
  </w:style>
  <w:style w:type="table" w:styleId="TableGrid">
    <w:name w:val="Table Grid"/>
    <w:basedOn w:val="TableNormal"/>
    <w:uiPriority w:val="39"/>
    <w:rsid w:val="00AF6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clinicaltial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Cameron White</cp:lastModifiedBy>
  <cp:revision>2</cp:revision>
  <dcterms:created xsi:type="dcterms:W3CDTF">2023-10-18T11:50:00Z</dcterms:created>
  <dcterms:modified xsi:type="dcterms:W3CDTF">2023-10-18T11:50:00Z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