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76F7" w14:textId="65D0DB02" w:rsidR="003C1C2C" w:rsidRPr="00A078B3" w:rsidRDefault="00274252" w:rsidP="00520FA2">
      <w:pPr>
        <w:spacing w:line="240" w:lineRule="auto"/>
        <w:rPr>
          <w:rFonts w:ascii="Arial" w:eastAsia="SimSun" w:hAnsi="Arial" w:cs="Arial"/>
          <w:b/>
          <w:bCs/>
          <w:sz w:val="22"/>
          <w:szCs w:val="22"/>
        </w:rPr>
      </w:pPr>
      <w:r w:rsidRPr="00A078B3">
        <w:rPr>
          <w:rFonts w:ascii="Arial" w:eastAsia="SimSun" w:hAnsi="Arial" w:cs="Arial"/>
          <w:b/>
          <w:bCs/>
          <w:sz w:val="22"/>
          <w:szCs w:val="22"/>
        </w:rPr>
        <w:t xml:space="preserve">Associations of Combined Modifiable Risk Factor Control </w:t>
      </w:r>
      <w:proofErr w:type="gramStart"/>
      <w:r w:rsidRPr="00A078B3">
        <w:rPr>
          <w:rFonts w:ascii="Arial" w:eastAsia="SimSun" w:hAnsi="Arial" w:cs="Arial"/>
          <w:b/>
          <w:bCs/>
          <w:sz w:val="22"/>
          <w:szCs w:val="22"/>
        </w:rPr>
        <w:t>With</w:t>
      </w:r>
      <w:proofErr w:type="gramEnd"/>
      <w:r w:rsidRPr="00A078B3">
        <w:rPr>
          <w:rFonts w:ascii="Arial" w:eastAsia="SimSun" w:hAnsi="Arial" w:cs="Arial"/>
          <w:b/>
          <w:bCs/>
          <w:sz w:val="22"/>
          <w:szCs w:val="22"/>
        </w:rPr>
        <w:t xml:space="preserve"> Incident Lower-Limb Ulceration and Population-Attributable Burden in Diabetes: A Prospective UK Biobank Study</w:t>
      </w:r>
    </w:p>
    <w:p w14:paraId="6B15A363" w14:textId="77777777" w:rsidR="00274252" w:rsidRPr="00A078B3" w:rsidRDefault="00274252" w:rsidP="00520FA2">
      <w:pPr>
        <w:spacing w:line="240" w:lineRule="auto"/>
        <w:rPr>
          <w:rFonts w:ascii="Arial" w:eastAsia="SimSun" w:hAnsi="Arial" w:cs="Arial"/>
          <w:b/>
          <w:bCs/>
          <w:sz w:val="22"/>
          <w:szCs w:val="22"/>
        </w:rPr>
      </w:pPr>
    </w:p>
    <w:p w14:paraId="62B72BA0" w14:textId="5A899ABB" w:rsidR="00F35D8A" w:rsidRPr="00A078B3" w:rsidRDefault="00F35D8A" w:rsidP="00520FA2">
      <w:pPr>
        <w:spacing w:line="240" w:lineRule="auto"/>
        <w:rPr>
          <w:rFonts w:ascii="Arial" w:eastAsia="SimSun" w:hAnsi="Arial" w:cs="Arial"/>
          <w:b/>
          <w:bCs/>
          <w:sz w:val="22"/>
          <w:szCs w:val="22"/>
        </w:rPr>
      </w:pPr>
      <w:r w:rsidRPr="00A078B3">
        <w:rPr>
          <w:rFonts w:ascii="Arial" w:eastAsia="SimSun" w:hAnsi="Arial" w:cs="Arial"/>
          <w:b/>
          <w:bCs/>
          <w:sz w:val="22"/>
          <w:szCs w:val="22"/>
        </w:rPr>
        <w:t>Abstract</w:t>
      </w:r>
    </w:p>
    <w:p w14:paraId="626992C2" w14:textId="6B7249D5" w:rsidR="00301E55" w:rsidRPr="00A078B3" w:rsidRDefault="00301E55" w:rsidP="00520FA2">
      <w:pPr>
        <w:spacing w:line="240" w:lineRule="auto"/>
        <w:rPr>
          <w:rFonts w:ascii="Arial" w:eastAsia="SimSun" w:hAnsi="Arial" w:cs="Arial"/>
          <w:b/>
          <w:bCs/>
          <w:sz w:val="22"/>
          <w:szCs w:val="22"/>
        </w:rPr>
      </w:pPr>
      <w:r w:rsidRPr="00A078B3">
        <w:rPr>
          <w:rFonts w:ascii="Arial" w:eastAsia="SimSun" w:hAnsi="Arial" w:cs="Arial"/>
          <w:b/>
          <w:bCs/>
          <w:sz w:val="22"/>
          <w:szCs w:val="22"/>
        </w:rPr>
        <w:t>Aims</w:t>
      </w:r>
    </w:p>
    <w:p w14:paraId="404F4C37" w14:textId="25B2DDA8" w:rsidR="00301E55" w:rsidRPr="00A078B3" w:rsidRDefault="00A078B3" w:rsidP="00520FA2">
      <w:pPr>
        <w:spacing w:line="240" w:lineRule="auto"/>
        <w:rPr>
          <w:rFonts w:ascii="Arial" w:eastAsia="SimSun" w:hAnsi="Arial" w:cs="Arial"/>
          <w:sz w:val="22"/>
          <w:szCs w:val="22"/>
        </w:rPr>
      </w:pPr>
      <w:r w:rsidRPr="00A078B3">
        <w:rPr>
          <w:rFonts w:ascii="Arial" w:eastAsia="SimSun" w:hAnsi="Arial" w:cs="Arial"/>
          <w:sz w:val="22"/>
          <w:szCs w:val="22"/>
        </w:rPr>
        <w:t>To evaluate the association between combined control of modifiable risk factors and incident lower-limb ulceration (LLU) among UK Biobank participants with diabetes, and to estimate population-attributable fractions (PAFs) for suboptimal control of each component.</w:t>
      </w:r>
    </w:p>
    <w:p w14:paraId="2635F2CA" w14:textId="77777777" w:rsidR="00A078B3" w:rsidRPr="00A078B3" w:rsidRDefault="00A078B3" w:rsidP="00520FA2">
      <w:pPr>
        <w:spacing w:line="240" w:lineRule="auto"/>
        <w:rPr>
          <w:rFonts w:ascii="Arial" w:eastAsia="SimSun" w:hAnsi="Arial" w:cs="Arial"/>
          <w:sz w:val="22"/>
          <w:szCs w:val="22"/>
        </w:rPr>
      </w:pPr>
    </w:p>
    <w:p w14:paraId="728CFEAE" w14:textId="3E8C57B9" w:rsidR="00F35D8A" w:rsidRPr="00A078B3" w:rsidRDefault="00F35D8A" w:rsidP="00520FA2">
      <w:pPr>
        <w:spacing w:line="240" w:lineRule="auto"/>
        <w:rPr>
          <w:rFonts w:ascii="Arial" w:eastAsia="SimSun" w:hAnsi="Arial" w:cs="Arial"/>
          <w:b/>
          <w:bCs/>
          <w:sz w:val="22"/>
          <w:szCs w:val="22"/>
        </w:rPr>
      </w:pPr>
      <w:r w:rsidRPr="00A078B3">
        <w:rPr>
          <w:rFonts w:ascii="Arial" w:eastAsia="SimSun" w:hAnsi="Arial" w:cs="Arial"/>
          <w:b/>
          <w:bCs/>
          <w:sz w:val="22"/>
          <w:szCs w:val="22"/>
        </w:rPr>
        <w:t>Methods</w:t>
      </w:r>
    </w:p>
    <w:p w14:paraId="1CF97123" w14:textId="1FC4D992" w:rsidR="0064752A" w:rsidRPr="00A078B3" w:rsidRDefault="00A078B3" w:rsidP="00520FA2">
      <w:pPr>
        <w:spacing w:line="240" w:lineRule="auto"/>
        <w:rPr>
          <w:rFonts w:ascii="Arial" w:eastAsia="SimSun" w:hAnsi="Arial" w:cs="Arial"/>
          <w:sz w:val="22"/>
          <w:szCs w:val="22"/>
        </w:rPr>
      </w:pPr>
      <w:r w:rsidRPr="00A078B3">
        <w:rPr>
          <w:rFonts w:ascii="Arial" w:eastAsia="SimSun" w:hAnsi="Arial" w:cs="Arial"/>
          <w:sz w:val="22"/>
          <w:szCs w:val="22"/>
        </w:rPr>
        <w:t>Using guideline-based thresholds aligned with UK Biobank data availability, we defined control of eight modifiable risk factors: adiposity (BMI &lt;25 kg/m² and waist-to-hip ratio &lt;0.90 in men/&lt;0.85 in women), blood pressure (&lt;140/90 mmHg), HbA1c (&lt;53 mmol/mol), LDL cholesterol (&lt;2.6 mmol/L), kidney function (eGFR ≥60 mL/min/1.73 m²; UACR &lt;30 mg/g when available), physical activity (meeting 2017 UK recommendations), non-current smoking, and diet quality (diet score ≥1). Participants were stratified by the number of targets achieved: low (≤2), moderate (3–5), and high (≥6). Multivariable Cox proportional hazards models estimated hazard ratios (HRs) for incident LLU by joint and component control. PAFs were estimated for suboptimal control of each factor.</w:t>
      </w:r>
    </w:p>
    <w:p w14:paraId="62083879" w14:textId="77777777" w:rsidR="00A078B3" w:rsidRPr="00A078B3" w:rsidRDefault="00A078B3" w:rsidP="00520FA2">
      <w:pPr>
        <w:spacing w:line="240" w:lineRule="auto"/>
        <w:rPr>
          <w:rFonts w:ascii="Arial" w:eastAsia="SimSun" w:hAnsi="Arial" w:cs="Arial"/>
          <w:sz w:val="22"/>
          <w:szCs w:val="22"/>
        </w:rPr>
      </w:pPr>
    </w:p>
    <w:p w14:paraId="132A3864" w14:textId="5C477BB7" w:rsidR="00F35D8A" w:rsidRPr="00A078B3" w:rsidRDefault="00F35D8A" w:rsidP="00520FA2">
      <w:pPr>
        <w:spacing w:line="240" w:lineRule="auto"/>
        <w:rPr>
          <w:rFonts w:ascii="Arial" w:eastAsia="SimSun" w:hAnsi="Arial" w:cs="Arial"/>
          <w:b/>
          <w:bCs/>
          <w:sz w:val="22"/>
          <w:szCs w:val="22"/>
        </w:rPr>
      </w:pPr>
      <w:r w:rsidRPr="00A078B3">
        <w:rPr>
          <w:rFonts w:ascii="Arial" w:eastAsia="SimSun" w:hAnsi="Arial" w:cs="Arial"/>
          <w:b/>
          <w:bCs/>
          <w:sz w:val="22"/>
          <w:szCs w:val="22"/>
        </w:rPr>
        <w:t>Results</w:t>
      </w:r>
    </w:p>
    <w:p w14:paraId="59B9115B" w14:textId="1143458E" w:rsidR="0026657A" w:rsidRPr="00A078B3" w:rsidRDefault="00A078B3" w:rsidP="00520FA2">
      <w:pPr>
        <w:spacing w:line="240" w:lineRule="auto"/>
        <w:rPr>
          <w:rFonts w:ascii="Arial" w:eastAsia="SimSun" w:hAnsi="Arial" w:cs="Arial"/>
          <w:sz w:val="22"/>
          <w:szCs w:val="22"/>
        </w:rPr>
      </w:pPr>
      <w:r w:rsidRPr="00A078B3">
        <w:rPr>
          <w:rFonts w:ascii="Arial" w:eastAsia="SimSun" w:hAnsi="Arial" w:cs="Arial"/>
          <w:sz w:val="22"/>
          <w:szCs w:val="22"/>
        </w:rPr>
        <w:t xml:space="preserve">Among 28,268 participants, 784, 18,968, and 8,516 were classified as low, moderate, and high control, respectively. LLU-free survival differed across strata (log-rank </w:t>
      </w:r>
      <w:r>
        <w:rPr>
          <w:rFonts w:ascii="Arial" w:eastAsia="SimSun" w:hAnsi="Arial" w:cs="Arial" w:hint="eastAsia"/>
          <w:sz w:val="22"/>
          <w:szCs w:val="22"/>
        </w:rPr>
        <w:t>p</w:t>
      </w:r>
      <w:r w:rsidRPr="00A078B3">
        <w:rPr>
          <w:rFonts w:ascii="Arial" w:eastAsia="SimSun" w:hAnsi="Arial" w:cs="Arial"/>
          <w:sz w:val="22"/>
          <w:szCs w:val="22"/>
        </w:rPr>
        <w:t>&lt;0.001). Compared with low control, moderate and high control were associated with 33% (HR 0.67, 95% CI 0.53</w:t>
      </w:r>
      <w:r>
        <w:rPr>
          <w:rFonts w:ascii="Arial" w:eastAsia="SimSun" w:hAnsi="Arial" w:cs="Arial" w:hint="eastAsia"/>
          <w:sz w:val="22"/>
          <w:szCs w:val="22"/>
        </w:rPr>
        <w:t>-</w:t>
      </w:r>
      <w:r w:rsidRPr="00A078B3">
        <w:rPr>
          <w:rFonts w:ascii="Arial" w:eastAsia="SimSun" w:hAnsi="Arial" w:cs="Arial"/>
          <w:sz w:val="22"/>
          <w:szCs w:val="22"/>
        </w:rPr>
        <w:t>0.85) and 60% (HR 0.40, 0.31</w:t>
      </w:r>
      <w:r>
        <w:rPr>
          <w:rFonts w:ascii="Arial" w:eastAsia="SimSun" w:hAnsi="Arial" w:cs="Arial" w:hint="eastAsia"/>
          <w:sz w:val="22"/>
          <w:szCs w:val="22"/>
        </w:rPr>
        <w:t>-</w:t>
      </w:r>
      <w:r w:rsidRPr="00A078B3">
        <w:rPr>
          <w:rFonts w:ascii="Arial" w:eastAsia="SimSun" w:hAnsi="Arial" w:cs="Arial"/>
          <w:sz w:val="22"/>
          <w:szCs w:val="22"/>
        </w:rPr>
        <w:t xml:space="preserve">0.53) lower LLU risk, respectively (both </w:t>
      </w:r>
      <w:r>
        <w:rPr>
          <w:rFonts w:ascii="Arial" w:eastAsia="SimSun" w:hAnsi="Arial" w:cs="Arial" w:hint="eastAsia"/>
          <w:sz w:val="22"/>
          <w:szCs w:val="22"/>
        </w:rPr>
        <w:t>p</w:t>
      </w:r>
      <w:r w:rsidRPr="00A078B3">
        <w:rPr>
          <w:rFonts w:ascii="Arial" w:eastAsia="SimSun" w:hAnsi="Arial" w:cs="Arial"/>
          <w:sz w:val="22"/>
          <w:szCs w:val="22"/>
        </w:rPr>
        <w:t>&lt;0.001). Each additional target achieved was associated with a 20% lower risk (HR 0.80, 0.76</w:t>
      </w:r>
      <w:r>
        <w:rPr>
          <w:rFonts w:ascii="Arial" w:eastAsia="SimSun" w:hAnsi="Arial" w:cs="Arial" w:hint="eastAsia"/>
          <w:sz w:val="22"/>
          <w:szCs w:val="22"/>
        </w:rPr>
        <w:t>-</w:t>
      </w:r>
      <w:r w:rsidRPr="00A078B3">
        <w:rPr>
          <w:rFonts w:ascii="Arial" w:eastAsia="SimSun" w:hAnsi="Arial" w:cs="Arial"/>
          <w:sz w:val="22"/>
          <w:szCs w:val="22"/>
        </w:rPr>
        <w:t xml:space="preserve">0.84). Except for LDL cholesterol, each component was independently associated with lower LLU risk (all </w:t>
      </w:r>
      <w:r>
        <w:rPr>
          <w:rFonts w:ascii="Arial" w:eastAsia="SimSun" w:hAnsi="Arial" w:cs="Arial" w:hint="eastAsia"/>
          <w:sz w:val="22"/>
          <w:szCs w:val="22"/>
        </w:rPr>
        <w:t>p</w:t>
      </w:r>
      <w:r w:rsidRPr="00A078B3">
        <w:rPr>
          <w:rFonts w:ascii="Arial" w:eastAsia="SimSun" w:hAnsi="Arial" w:cs="Arial"/>
          <w:sz w:val="22"/>
          <w:szCs w:val="22"/>
        </w:rPr>
        <w:t xml:space="preserve">&lt;0.05). </w:t>
      </w:r>
      <w:r w:rsidRPr="00A078B3">
        <w:rPr>
          <w:rFonts w:ascii="Arial" w:eastAsia="SimSun" w:hAnsi="Arial" w:cs="Arial" w:hint="eastAsia"/>
          <w:sz w:val="22"/>
          <w:szCs w:val="22"/>
        </w:rPr>
        <w:t>PAFs were highest for suboptimal adiposity (37.7%), with smaller contributions from other factors.</w:t>
      </w:r>
    </w:p>
    <w:p w14:paraId="4A2F4688" w14:textId="77777777" w:rsidR="00A078B3" w:rsidRPr="00A078B3" w:rsidRDefault="00A078B3" w:rsidP="00520FA2">
      <w:pPr>
        <w:spacing w:line="240" w:lineRule="auto"/>
        <w:rPr>
          <w:rFonts w:ascii="Arial" w:eastAsia="SimSun" w:hAnsi="Arial" w:cs="Arial"/>
          <w:sz w:val="22"/>
          <w:szCs w:val="22"/>
        </w:rPr>
      </w:pPr>
    </w:p>
    <w:p w14:paraId="0CAD3A56" w14:textId="131697A1" w:rsidR="00F35D8A" w:rsidRPr="00A078B3" w:rsidRDefault="00F35D8A" w:rsidP="00520FA2">
      <w:pPr>
        <w:spacing w:line="240" w:lineRule="auto"/>
        <w:rPr>
          <w:rFonts w:ascii="Arial" w:eastAsia="SimSun" w:hAnsi="Arial" w:cs="Arial"/>
          <w:b/>
          <w:bCs/>
          <w:sz w:val="22"/>
          <w:szCs w:val="22"/>
        </w:rPr>
      </w:pPr>
      <w:r w:rsidRPr="00A078B3">
        <w:rPr>
          <w:rFonts w:ascii="Arial" w:eastAsia="SimSun" w:hAnsi="Arial" w:cs="Arial"/>
          <w:b/>
          <w:bCs/>
          <w:sz w:val="22"/>
          <w:szCs w:val="22"/>
        </w:rPr>
        <w:t>Conclusion</w:t>
      </w:r>
    </w:p>
    <w:p w14:paraId="73EF00B0" w14:textId="1E979524" w:rsidR="006C1334" w:rsidRPr="00A078B3" w:rsidRDefault="00593255" w:rsidP="00520FA2">
      <w:pPr>
        <w:spacing w:line="240" w:lineRule="auto"/>
        <w:rPr>
          <w:rFonts w:ascii="Arial" w:eastAsia="SimSun" w:hAnsi="Arial" w:cs="Arial"/>
          <w:sz w:val="22"/>
          <w:szCs w:val="22"/>
        </w:rPr>
      </w:pPr>
      <w:r w:rsidRPr="00A078B3">
        <w:rPr>
          <w:rFonts w:ascii="Arial" w:eastAsia="SimSun" w:hAnsi="Arial" w:cs="Arial"/>
          <w:sz w:val="22"/>
          <w:szCs w:val="22"/>
        </w:rPr>
        <w:t>Higher combined risk factor control was associated with a graded reduction in incident LLU. Suboptimal adiposity accounted for the largest population-attributable burden, underscoring adiposity control as a key target for LLU prevention.</w:t>
      </w:r>
    </w:p>
    <w:p w14:paraId="3BC231CF" w14:textId="77777777" w:rsidR="00593255" w:rsidRPr="00A078B3" w:rsidRDefault="00593255" w:rsidP="00520FA2">
      <w:pPr>
        <w:spacing w:line="240" w:lineRule="auto"/>
        <w:rPr>
          <w:rFonts w:ascii="Arial" w:eastAsia="SimSun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6C1334" w:rsidRPr="00A078B3" w14:paraId="0371E380" w14:textId="77777777" w:rsidTr="006C1334">
        <w:tc>
          <w:tcPr>
            <w:tcW w:w="8296" w:type="dxa"/>
          </w:tcPr>
          <w:p w14:paraId="46534459" w14:textId="3A2B7087" w:rsidR="006C1334" w:rsidRPr="00A078B3" w:rsidRDefault="006C1334" w:rsidP="00520FA2">
            <w:pPr>
              <w:rPr>
                <w:rFonts w:ascii="Arial" w:eastAsia="SimSun" w:hAnsi="Arial" w:cs="Arial"/>
                <w:b/>
                <w:bCs/>
                <w:sz w:val="22"/>
                <w:szCs w:val="22"/>
              </w:rPr>
            </w:pPr>
            <w:r w:rsidRPr="00A078B3">
              <w:rPr>
                <w:rFonts w:ascii="Arial" w:eastAsia="SimSun" w:hAnsi="Arial" w:cs="Arial"/>
                <w:noProof/>
                <w:sz w:val="22"/>
                <w:szCs w:val="22"/>
              </w:rPr>
              <w:lastRenderedPageBreak/>
              <w:drawing>
                <wp:inline distT="0" distB="0" distL="0" distR="0" wp14:anchorId="2F88CB8D" wp14:editId="2DF5B844">
                  <wp:extent cx="5274310" cy="1734185"/>
                  <wp:effectExtent l="0" t="0" r="2540" b="0"/>
                  <wp:docPr id="13905303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334" w:rsidRPr="00A078B3" w14:paraId="580F7667" w14:textId="77777777" w:rsidTr="006C1334">
        <w:tc>
          <w:tcPr>
            <w:tcW w:w="8296" w:type="dxa"/>
          </w:tcPr>
          <w:p w14:paraId="43315ED2" w14:textId="520F9D5D" w:rsidR="006C1334" w:rsidRPr="00A078B3" w:rsidRDefault="008A4DF4" w:rsidP="00520FA2">
            <w:pPr>
              <w:rPr>
                <w:rFonts w:ascii="Arial" w:eastAsia="SimSun" w:hAnsi="Arial" w:cs="Arial"/>
                <w:b/>
                <w:bCs/>
                <w:sz w:val="22"/>
                <w:szCs w:val="22"/>
              </w:rPr>
            </w:pPr>
            <w:r w:rsidRPr="00A078B3">
              <w:rPr>
                <w:rFonts w:ascii="Arial" w:eastAsia="SimSun" w:hAnsi="Arial" w:cs="Arial"/>
                <w:b/>
                <w:bCs/>
                <w:sz w:val="22"/>
                <w:szCs w:val="22"/>
              </w:rPr>
              <w:t xml:space="preserve">Figure 1. Joint and component risk-factor control and incident LLU risk and attributable burden. </w:t>
            </w:r>
            <w:r w:rsidRPr="00A078B3">
              <w:rPr>
                <w:rFonts w:ascii="Arial" w:eastAsia="SimSun" w:hAnsi="Arial" w:cs="Arial"/>
                <w:sz w:val="22"/>
                <w:szCs w:val="22"/>
              </w:rPr>
              <w:t>(A) Kaplan-Meier curves by joint control strata: low (≤2), moderate (3</w:t>
            </w:r>
            <w:r w:rsidR="00457FFA" w:rsidRPr="00A078B3">
              <w:rPr>
                <w:rFonts w:ascii="Arial" w:eastAsia="SimSun" w:hAnsi="Arial" w:cs="Arial"/>
                <w:sz w:val="22"/>
                <w:szCs w:val="22"/>
              </w:rPr>
              <w:t>-</w:t>
            </w:r>
            <w:r w:rsidRPr="00A078B3">
              <w:rPr>
                <w:rFonts w:ascii="Arial" w:eastAsia="SimSun" w:hAnsi="Arial" w:cs="Arial"/>
                <w:sz w:val="22"/>
                <w:szCs w:val="22"/>
              </w:rPr>
              <w:t>5), high (≥6). (B) Multivariable-adjusted HRs (95% CI) for joint and component control. (C) PAFs for suboptimal control of each component.</w:t>
            </w:r>
          </w:p>
        </w:tc>
      </w:tr>
    </w:tbl>
    <w:p w14:paraId="5143A8EC" w14:textId="786FCBEB" w:rsidR="00F05CE6" w:rsidRPr="00A078B3" w:rsidRDefault="00F05CE6" w:rsidP="00520FA2">
      <w:pPr>
        <w:spacing w:line="240" w:lineRule="auto"/>
        <w:rPr>
          <w:rFonts w:ascii="Arial" w:eastAsia="SimSun" w:hAnsi="Arial" w:cs="Arial"/>
          <w:b/>
          <w:bCs/>
          <w:sz w:val="22"/>
          <w:szCs w:val="22"/>
        </w:rPr>
      </w:pPr>
    </w:p>
    <w:sectPr w:rsidR="00F05CE6" w:rsidRPr="00A07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0BD93" w14:textId="77777777" w:rsidR="00C164BF" w:rsidRDefault="00C164BF" w:rsidP="00010983">
      <w:pPr>
        <w:spacing w:line="240" w:lineRule="auto"/>
      </w:pPr>
      <w:r>
        <w:separator/>
      </w:r>
    </w:p>
  </w:endnote>
  <w:endnote w:type="continuationSeparator" w:id="0">
    <w:p w14:paraId="734051DA" w14:textId="77777777" w:rsidR="00C164BF" w:rsidRDefault="00C164BF" w:rsidP="000109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CF9B" w14:textId="77777777" w:rsidR="00C164BF" w:rsidRDefault="00C164BF" w:rsidP="00010983">
      <w:pPr>
        <w:spacing w:line="240" w:lineRule="auto"/>
      </w:pPr>
      <w:r>
        <w:separator/>
      </w:r>
    </w:p>
  </w:footnote>
  <w:footnote w:type="continuationSeparator" w:id="0">
    <w:p w14:paraId="4ED0B0FD" w14:textId="77777777" w:rsidR="00C164BF" w:rsidRDefault="00C164BF" w:rsidP="000109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44010"/>
    <w:multiLevelType w:val="hybridMultilevel"/>
    <w:tmpl w:val="E6F28E5C"/>
    <w:lvl w:ilvl="0" w:tplc="13A63CF0">
      <w:start w:val="1"/>
      <w:numFmt w:val="decimal"/>
      <w:pStyle w:val="Heading2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83009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stylePaneSortMethod w:val="0002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rdiovascular Di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wrsaeewwfrtlefw5wpz50x50dzaee5fpar&quot;&gt;中膜钙化&lt;record-ids&gt;&lt;item&gt;585&lt;/item&gt;&lt;item&gt;586&lt;/item&gt;&lt;item&gt;587&lt;/item&gt;&lt;item&gt;588&lt;/item&gt;&lt;/record-ids&gt;&lt;/item&gt;&lt;/Libraries&gt;"/>
  </w:docVars>
  <w:rsids>
    <w:rsidRoot w:val="00007BC9"/>
    <w:rsid w:val="0000760F"/>
    <w:rsid w:val="00007BC9"/>
    <w:rsid w:val="00010983"/>
    <w:rsid w:val="00013334"/>
    <w:rsid w:val="00031016"/>
    <w:rsid w:val="00034B73"/>
    <w:rsid w:val="00047C33"/>
    <w:rsid w:val="00057999"/>
    <w:rsid w:val="00075B14"/>
    <w:rsid w:val="0008144F"/>
    <w:rsid w:val="00094967"/>
    <w:rsid w:val="000A4D84"/>
    <w:rsid w:val="000C3835"/>
    <w:rsid w:val="000C56E7"/>
    <w:rsid w:val="000E115F"/>
    <w:rsid w:val="00105725"/>
    <w:rsid w:val="00124980"/>
    <w:rsid w:val="0013258D"/>
    <w:rsid w:val="00141218"/>
    <w:rsid w:val="001706BE"/>
    <w:rsid w:val="001850AE"/>
    <w:rsid w:val="00191EED"/>
    <w:rsid w:val="001940B2"/>
    <w:rsid w:val="001A3B93"/>
    <w:rsid w:val="001A5560"/>
    <w:rsid w:val="001B34E0"/>
    <w:rsid w:val="001C02C9"/>
    <w:rsid w:val="001D56C8"/>
    <w:rsid w:val="00213C32"/>
    <w:rsid w:val="00244341"/>
    <w:rsid w:val="0026657A"/>
    <w:rsid w:val="0026758D"/>
    <w:rsid w:val="00274252"/>
    <w:rsid w:val="0028277F"/>
    <w:rsid w:val="00284B55"/>
    <w:rsid w:val="0028526E"/>
    <w:rsid w:val="0028621C"/>
    <w:rsid w:val="0029581B"/>
    <w:rsid w:val="002973BC"/>
    <w:rsid w:val="002D7371"/>
    <w:rsid w:val="002E27A7"/>
    <w:rsid w:val="00301E55"/>
    <w:rsid w:val="00340696"/>
    <w:rsid w:val="00342274"/>
    <w:rsid w:val="00354581"/>
    <w:rsid w:val="00373328"/>
    <w:rsid w:val="003771D2"/>
    <w:rsid w:val="0038283A"/>
    <w:rsid w:val="00382BBE"/>
    <w:rsid w:val="00384688"/>
    <w:rsid w:val="003935B3"/>
    <w:rsid w:val="003A208D"/>
    <w:rsid w:val="003B6AF3"/>
    <w:rsid w:val="003C1C2C"/>
    <w:rsid w:val="003C5926"/>
    <w:rsid w:val="003E634C"/>
    <w:rsid w:val="003E65DB"/>
    <w:rsid w:val="003F7DCD"/>
    <w:rsid w:val="00400AE2"/>
    <w:rsid w:val="00417FF7"/>
    <w:rsid w:val="00426946"/>
    <w:rsid w:val="004276CE"/>
    <w:rsid w:val="00430B65"/>
    <w:rsid w:val="0043392C"/>
    <w:rsid w:val="0043602C"/>
    <w:rsid w:val="00457FFA"/>
    <w:rsid w:val="004614B4"/>
    <w:rsid w:val="004672DC"/>
    <w:rsid w:val="00474E2E"/>
    <w:rsid w:val="0048308A"/>
    <w:rsid w:val="0049185D"/>
    <w:rsid w:val="004A548B"/>
    <w:rsid w:val="004A65BA"/>
    <w:rsid w:val="004A6969"/>
    <w:rsid w:val="004D2E37"/>
    <w:rsid w:val="004D77B9"/>
    <w:rsid w:val="004E0FF6"/>
    <w:rsid w:val="004F251F"/>
    <w:rsid w:val="004F3D6F"/>
    <w:rsid w:val="00512E63"/>
    <w:rsid w:val="0052003F"/>
    <w:rsid w:val="00520FA2"/>
    <w:rsid w:val="00522EC2"/>
    <w:rsid w:val="00535ED5"/>
    <w:rsid w:val="00540A27"/>
    <w:rsid w:val="005515A8"/>
    <w:rsid w:val="00577D14"/>
    <w:rsid w:val="00593255"/>
    <w:rsid w:val="005B16F8"/>
    <w:rsid w:val="005D48C2"/>
    <w:rsid w:val="005E50EA"/>
    <w:rsid w:val="005F3B9B"/>
    <w:rsid w:val="005F446D"/>
    <w:rsid w:val="005F4E8B"/>
    <w:rsid w:val="00614061"/>
    <w:rsid w:val="0062162B"/>
    <w:rsid w:val="006347BF"/>
    <w:rsid w:val="00643B6B"/>
    <w:rsid w:val="0064752A"/>
    <w:rsid w:val="0065027D"/>
    <w:rsid w:val="006874FC"/>
    <w:rsid w:val="006A26E7"/>
    <w:rsid w:val="006B4D51"/>
    <w:rsid w:val="006B5F8F"/>
    <w:rsid w:val="006C1334"/>
    <w:rsid w:val="006E527B"/>
    <w:rsid w:val="006F35BE"/>
    <w:rsid w:val="00703FB0"/>
    <w:rsid w:val="00711C34"/>
    <w:rsid w:val="00730721"/>
    <w:rsid w:val="00754BBE"/>
    <w:rsid w:val="007654E0"/>
    <w:rsid w:val="007679FA"/>
    <w:rsid w:val="007831A5"/>
    <w:rsid w:val="0079467C"/>
    <w:rsid w:val="007C170F"/>
    <w:rsid w:val="00826124"/>
    <w:rsid w:val="00840568"/>
    <w:rsid w:val="00856029"/>
    <w:rsid w:val="00862CFC"/>
    <w:rsid w:val="00865B98"/>
    <w:rsid w:val="00892145"/>
    <w:rsid w:val="00894239"/>
    <w:rsid w:val="008A4DF4"/>
    <w:rsid w:val="008A56B7"/>
    <w:rsid w:val="008B269B"/>
    <w:rsid w:val="008B486F"/>
    <w:rsid w:val="008B4E14"/>
    <w:rsid w:val="008B5844"/>
    <w:rsid w:val="008C3839"/>
    <w:rsid w:val="008D1230"/>
    <w:rsid w:val="008E7483"/>
    <w:rsid w:val="0090672F"/>
    <w:rsid w:val="00960F5A"/>
    <w:rsid w:val="00972293"/>
    <w:rsid w:val="0098354A"/>
    <w:rsid w:val="00987B05"/>
    <w:rsid w:val="00990EE5"/>
    <w:rsid w:val="009B7DBC"/>
    <w:rsid w:val="009C0956"/>
    <w:rsid w:val="009C183C"/>
    <w:rsid w:val="009C641B"/>
    <w:rsid w:val="009D5A9D"/>
    <w:rsid w:val="00A03747"/>
    <w:rsid w:val="00A078B3"/>
    <w:rsid w:val="00A210DF"/>
    <w:rsid w:val="00A22493"/>
    <w:rsid w:val="00A27000"/>
    <w:rsid w:val="00A3244F"/>
    <w:rsid w:val="00A40346"/>
    <w:rsid w:val="00A42C48"/>
    <w:rsid w:val="00A656BE"/>
    <w:rsid w:val="00A90C3B"/>
    <w:rsid w:val="00A911E6"/>
    <w:rsid w:val="00AA4D8E"/>
    <w:rsid w:val="00AD511B"/>
    <w:rsid w:val="00AE2561"/>
    <w:rsid w:val="00AF0C5C"/>
    <w:rsid w:val="00B01721"/>
    <w:rsid w:val="00B35F2D"/>
    <w:rsid w:val="00B36EC1"/>
    <w:rsid w:val="00B47F4B"/>
    <w:rsid w:val="00B50AAE"/>
    <w:rsid w:val="00B651E0"/>
    <w:rsid w:val="00B77623"/>
    <w:rsid w:val="00B91E66"/>
    <w:rsid w:val="00BA5F80"/>
    <w:rsid w:val="00BC4043"/>
    <w:rsid w:val="00BC750C"/>
    <w:rsid w:val="00BE6CFD"/>
    <w:rsid w:val="00C052C4"/>
    <w:rsid w:val="00C164BF"/>
    <w:rsid w:val="00C43635"/>
    <w:rsid w:val="00C55B86"/>
    <w:rsid w:val="00C67F9A"/>
    <w:rsid w:val="00C70564"/>
    <w:rsid w:val="00C7299A"/>
    <w:rsid w:val="00C938B1"/>
    <w:rsid w:val="00CB08DB"/>
    <w:rsid w:val="00CC36CF"/>
    <w:rsid w:val="00CC5CAF"/>
    <w:rsid w:val="00CF7006"/>
    <w:rsid w:val="00D07AC3"/>
    <w:rsid w:val="00D11FAB"/>
    <w:rsid w:val="00D261A9"/>
    <w:rsid w:val="00D3028F"/>
    <w:rsid w:val="00D86088"/>
    <w:rsid w:val="00D915F6"/>
    <w:rsid w:val="00D91909"/>
    <w:rsid w:val="00D92BB8"/>
    <w:rsid w:val="00DA3BDE"/>
    <w:rsid w:val="00DC55B4"/>
    <w:rsid w:val="00DD1BE5"/>
    <w:rsid w:val="00DD3774"/>
    <w:rsid w:val="00DD5B3E"/>
    <w:rsid w:val="00DE1191"/>
    <w:rsid w:val="00E111EB"/>
    <w:rsid w:val="00E13EEF"/>
    <w:rsid w:val="00E1437F"/>
    <w:rsid w:val="00E36CE2"/>
    <w:rsid w:val="00E5459F"/>
    <w:rsid w:val="00E6183E"/>
    <w:rsid w:val="00E674EE"/>
    <w:rsid w:val="00ED03A1"/>
    <w:rsid w:val="00ED5125"/>
    <w:rsid w:val="00EE3536"/>
    <w:rsid w:val="00EE459E"/>
    <w:rsid w:val="00F00742"/>
    <w:rsid w:val="00F0181D"/>
    <w:rsid w:val="00F05CE6"/>
    <w:rsid w:val="00F157FC"/>
    <w:rsid w:val="00F21821"/>
    <w:rsid w:val="00F222D5"/>
    <w:rsid w:val="00F3021D"/>
    <w:rsid w:val="00F34154"/>
    <w:rsid w:val="00F35D8A"/>
    <w:rsid w:val="00F44743"/>
    <w:rsid w:val="00F45B72"/>
    <w:rsid w:val="00F51D95"/>
    <w:rsid w:val="00F628CD"/>
    <w:rsid w:val="00F70016"/>
    <w:rsid w:val="00F81FE4"/>
    <w:rsid w:val="00F8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17ED26"/>
  <w14:defaultImageDpi w14:val="32767"/>
  <w15:chartTrackingRefBased/>
  <w15:docId w15:val="{14F8145A-BA62-402A-94CC-A9800D74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kern w:val="2"/>
        <w:lang w:val="en-US" w:eastAsia="zh-CN" w:bidi="ar-SA"/>
        <w14:ligatures w14:val="standardContextual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334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B6AF3"/>
    <w:pPr>
      <w:keepNext/>
      <w:keepLines/>
      <w:spacing w:after="220" w:line="360" w:lineRule="auto"/>
      <w:jc w:val="center"/>
      <w:outlineLvl w:val="0"/>
    </w:pPr>
    <w:rPr>
      <w:rFonts w:ascii="Times New Roman" w:eastAsia="SimHei" w:hAnsi="Times New Roman" w:cstheme="majorBidi"/>
      <w:b/>
      <w:spacing w:val="20"/>
      <w:sz w:val="30"/>
      <w:szCs w:val="3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6AF3"/>
    <w:pPr>
      <w:keepNext/>
      <w:keepLines/>
      <w:numPr>
        <w:numId w:val="1"/>
      </w:numPr>
      <w:ind w:rightChars="100" w:right="210"/>
      <w:outlineLvl w:val="1"/>
    </w:pPr>
    <w:rPr>
      <w:rFonts w:ascii="Times New Roman" w:eastAsia="SimSun" w:hAnsi="Times New Roman" w:cs="Times New Roman"/>
      <w:b/>
      <w:sz w:val="30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AF3"/>
    <w:pPr>
      <w:keepNext/>
      <w:keepLines/>
      <w:outlineLvl w:val="2"/>
    </w:pPr>
    <w:rPr>
      <w:rFonts w:ascii="Times New Roman" w:eastAsia="SimSun" w:hAnsi="Times New Roman" w:cs="Times New Roman"/>
      <w:b/>
      <w:sz w:val="28"/>
      <w:szCs w:val="3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B6AF3"/>
    <w:pPr>
      <w:keepNext/>
      <w:keepLines/>
      <w:outlineLvl w:val="3"/>
    </w:pPr>
    <w:rPr>
      <w:rFonts w:ascii="Times New Roman" w:eastAsia="Times New Roman" w:hAnsi="Times New Roman" w:cs="Times New Roman"/>
      <w:b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3B6AF3"/>
    <w:pPr>
      <w:keepNext/>
      <w:keepLines/>
      <w:spacing w:before="80" w:after="40" w:line="278" w:lineRule="auto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3B6AF3"/>
    <w:pPr>
      <w:keepNext/>
      <w:keepLines/>
      <w:spacing w:before="40" w:line="278" w:lineRule="auto"/>
      <w:outlineLvl w:val="5"/>
    </w:pPr>
    <w:rPr>
      <w:rFonts w:cstheme="majorBidi"/>
      <w:b/>
      <w:bCs/>
      <w:color w:val="0F4761" w:themeColor="accent1" w:themeShade="BF"/>
      <w:sz w:val="22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3B6AF3"/>
    <w:pPr>
      <w:keepNext/>
      <w:keepLines/>
      <w:spacing w:before="40" w:line="278" w:lineRule="auto"/>
      <w:outlineLvl w:val="6"/>
    </w:pPr>
    <w:rPr>
      <w:rFonts w:cstheme="majorBidi"/>
      <w:b/>
      <w:bCs/>
      <w:color w:val="595959" w:themeColor="text1" w:themeTint="A6"/>
      <w:sz w:val="22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3B6AF3"/>
    <w:pPr>
      <w:keepNext/>
      <w:keepLines/>
      <w:spacing w:line="278" w:lineRule="auto"/>
      <w:outlineLvl w:val="7"/>
    </w:pPr>
    <w:rPr>
      <w:rFonts w:cstheme="majorBidi"/>
      <w:color w:val="595959" w:themeColor="text1" w:themeTint="A6"/>
      <w:sz w:val="22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3B6AF3"/>
    <w:pPr>
      <w:keepNext/>
      <w:keepLines/>
      <w:spacing w:line="278" w:lineRule="auto"/>
      <w:outlineLvl w:val="8"/>
    </w:pPr>
    <w:rPr>
      <w:rFonts w:eastAsiaTheme="majorEastAsia" w:cstheme="majorBidi"/>
      <w:color w:val="595959" w:themeColor="text1" w:themeTint="A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autoRedefine/>
    <w:uiPriority w:val="99"/>
    <w:unhideWhenUsed/>
    <w:qFormat/>
    <w:rsid w:val="003B6AF3"/>
    <w:rPr>
      <w:rFonts w:ascii="Times New Roman" w:eastAsia="SimSun" w:hAnsi="Times New Roman" w:cs="SimSun"/>
      <w:bCs/>
      <w:noProof/>
      <w:color w:val="000000" w:themeColor="text1"/>
      <w:sz w:val="24"/>
      <w:u w:val="single"/>
    </w:rPr>
  </w:style>
  <w:style w:type="character" w:customStyle="1" w:styleId="2">
    <w:name w:val="样式 超链接 + 宋体 加粗2"/>
    <w:basedOn w:val="Hyperlink"/>
    <w:qFormat/>
    <w:rsid w:val="003B6AF3"/>
    <w:rPr>
      <w:rFonts w:ascii="SimSun" w:eastAsia="SimSun" w:hAnsi="SimSun" w:cs="SimSun"/>
      <w:b/>
      <w:bCs/>
      <w:noProof/>
      <w:color w:val="000000" w:themeColor="text1"/>
      <w:sz w:val="24"/>
      <w:u w:val="none"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3B6AF3"/>
    <w:pPr>
      <w:jc w:val="center"/>
    </w:pPr>
    <w:rPr>
      <w:rFonts w:ascii="DengXian" w:eastAsia="DengXian" w:hAnsi="DengXian" w:cs="Times New Roman"/>
    </w:r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3B6AF3"/>
    <w:rPr>
      <w:rFonts w:ascii="DengXian" w:eastAsia="DengXian" w:hAnsi="DengXian" w:cs="Times New Roman"/>
    </w:rPr>
  </w:style>
  <w:style w:type="paragraph" w:customStyle="1" w:styleId="EndNoteBibliography">
    <w:name w:val="EndNote Bibliography"/>
    <w:basedOn w:val="Normal"/>
    <w:link w:val="EndNoteBibliography0"/>
    <w:qFormat/>
    <w:rsid w:val="003B6AF3"/>
    <w:pPr>
      <w:adjustRightInd w:val="0"/>
      <w:spacing w:line="240" w:lineRule="auto"/>
    </w:pPr>
    <w:rPr>
      <w:rFonts w:ascii="DengXian" w:eastAsia="DengXian" w:hAnsi="DengXian" w:cs="Times New Roman"/>
      <w:bCs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3B6AF3"/>
    <w:rPr>
      <w:rFonts w:ascii="DengXian" w:eastAsia="DengXian" w:hAnsi="DengXian" w:cs="Times New Roman"/>
      <w:bCs/>
    </w:rPr>
  </w:style>
  <w:style w:type="character" w:customStyle="1" w:styleId="1">
    <w:name w:val="未处理的提及1"/>
    <w:basedOn w:val="DefaultParagraphFont"/>
    <w:autoRedefine/>
    <w:uiPriority w:val="99"/>
    <w:semiHidden/>
    <w:unhideWhenUsed/>
    <w:qFormat/>
    <w:rsid w:val="003B6AF3"/>
    <w:rPr>
      <w:color w:val="605E5C"/>
      <w:shd w:val="clear" w:color="auto" w:fill="E1DFDD"/>
    </w:rPr>
  </w:style>
  <w:style w:type="character" w:customStyle="1" w:styleId="10">
    <w:name w:val="明显强调1"/>
    <w:basedOn w:val="DefaultParagraphFont"/>
    <w:autoRedefine/>
    <w:uiPriority w:val="21"/>
    <w:qFormat/>
    <w:rsid w:val="003B6AF3"/>
    <w:rPr>
      <w:i/>
      <w:iCs/>
      <w:color w:val="0F4761" w:themeColor="accent1" w:themeShade="BF"/>
    </w:rPr>
  </w:style>
  <w:style w:type="character" w:customStyle="1" w:styleId="11">
    <w:name w:val="明显参考1"/>
    <w:basedOn w:val="DefaultParagraphFont"/>
    <w:autoRedefine/>
    <w:uiPriority w:val="32"/>
    <w:qFormat/>
    <w:rsid w:val="003B6AF3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autoRedefine/>
    <w:semiHidden/>
    <w:unhideWhenUsed/>
    <w:qFormat/>
    <w:rsid w:val="003B6AF3"/>
    <w:pPr>
      <w:spacing w:after="200" w:line="240" w:lineRule="auto"/>
    </w:pPr>
    <w:rPr>
      <w:color w:val="auto"/>
      <w:kern w:val="0"/>
      <w:sz w:val="24"/>
      <w:lang w:val="en-NZ" w:eastAsia="en-US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Caption"/>
    <w:autoRedefine/>
    <w:qFormat/>
    <w:rsid w:val="003B6AF3"/>
    <w:pPr>
      <w:keepNext/>
      <w:spacing w:after="120"/>
    </w:pPr>
    <w:rPr>
      <w:rFonts w:asciiTheme="minorHAnsi" w:eastAsiaTheme="minorEastAsia" w:hAnsiTheme="minorHAnsi" w:cstheme="minorBidi"/>
      <w:i/>
      <w:kern w:val="0"/>
      <w:sz w:val="24"/>
      <w:szCs w:val="24"/>
      <w:lang w:eastAsia="en-US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3B6AF3"/>
    <w:rPr>
      <w:rFonts w:asciiTheme="majorHAnsi" w:eastAsia="SimHei" w:hAnsiTheme="majorHAnsi" w:cstheme="majorBidi"/>
    </w:rPr>
  </w:style>
  <w:style w:type="character" w:customStyle="1" w:styleId="20">
    <w:name w:val="未处理的提及2"/>
    <w:basedOn w:val="DefaultParagraphFont"/>
    <w:autoRedefine/>
    <w:uiPriority w:val="99"/>
    <w:semiHidden/>
    <w:unhideWhenUsed/>
    <w:qFormat/>
    <w:rsid w:val="003B6AF3"/>
    <w:rPr>
      <w:color w:val="605E5C"/>
      <w:shd w:val="clear" w:color="auto" w:fill="E1DFDD"/>
    </w:rPr>
  </w:style>
  <w:style w:type="character" w:customStyle="1" w:styleId="3">
    <w:name w:val="未处理的提及3"/>
    <w:basedOn w:val="DefaultParagraphFont"/>
    <w:uiPriority w:val="99"/>
    <w:semiHidden/>
    <w:unhideWhenUsed/>
    <w:qFormat/>
    <w:rsid w:val="003B6AF3"/>
    <w:rPr>
      <w:color w:val="605E5C"/>
      <w:shd w:val="clear" w:color="auto" w:fill="E1DFDD"/>
    </w:rPr>
  </w:style>
  <w:style w:type="character" w:customStyle="1" w:styleId="4">
    <w:name w:val="未处理的提及4"/>
    <w:basedOn w:val="DefaultParagraphFont"/>
    <w:uiPriority w:val="99"/>
    <w:semiHidden/>
    <w:unhideWhenUsed/>
    <w:qFormat/>
    <w:rsid w:val="003B6AF3"/>
    <w:rPr>
      <w:color w:val="605E5C"/>
      <w:shd w:val="clear" w:color="auto" w:fill="E1DFDD"/>
    </w:rPr>
  </w:style>
  <w:style w:type="character" w:customStyle="1" w:styleId="5">
    <w:name w:val="未处理的提及5"/>
    <w:basedOn w:val="DefaultParagraphFont"/>
    <w:uiPriority w:val="99"/>
    <w:semiHidden/>
    <w:unhideWhenUsed/>
    <w:qFormat/>
    <w:rsid w:val="003B6AF3"/>
    <w:rPr>
      <w:color w:val="605E5C"/>
      <w:shd w:val="clear" w:color="auto" w:fill="E1DFDD"/>
    </w:rPr>
  </w:style>
  <w:style w:type="paragraph" w:customStyle="1" w:styleId="a">
    <w:name w:val="一级"/>
    <w:basedOn w:val="Heading1"/>
    <w:link w:val="a0"/>
    <w:qFormat/>
    <w:rsid w:val="003B6AF3"/>
    <w:rPr>
      <w:b w:val="0"/>
    </w:rPr>
  </w:style>
  <w:style w:type="character" w:customStyle="1" w:styleId="a0">
    <w:name w:val="一级 字符"/>
    <w:basedOn w:val="Heading1Char"/>
    <w:link w:val="a"/>
    <w:rsid w:val="003B6AF3"/>
    <w:rPr>
      <w:rFonts w:ascii="Times New Roman" w:eastAsia="SimHei" w:hAnsi="Times New Roman" w:cstheme="majorBidi"/>
      <w:b w:val="0"/>
      <w:color w:val="000000" w:themeColor="text1"/>
      <w:spacing w:val="20"/>
      <w:sz w:val="30"/>
      <w:szCs w:val="3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B6AF3"/>
    <w:rPr>
      <w:rFonts w:ascii="Times New Roman" w:eastAsia="SimHei" w:hAnsi="Times New Roman" w:cstheme="majorBidi"/>
      <w:b/>
      <w:color w:val="000000" w:themeColor="text1"/>
      <w:spacing w:val="20"/>
      <w:sz w:val="30"/>
      <w:szCs w:val="30"/>
      <w14:ligatures w14:val="none"/>
    </w:rPr>
  </w:style>
  <w:style w:type="paragraph" w:customStyle="1" w:styleId="a1">
    <w:name w:val="二级"/>
    <w:basedOn w:val="Heading1"/>
    <w:link w:val="a2"/>
    <w:qFormat/>
    <w:rsid w:val="003B6AF3"/>
    <w:pPr>
      <w:ind w:leftChars="100" w:left="1680" w:rightChars="100" w:right="100"/>
    </w:pPr>
    <w:rPr>
      <w:rFonts w:eastAsia="Times New Roman"/>
      <w:b w:val="0"/>
    </w:rPr>
  </w:style>
  <w:style w:type="character" w:customStyle="1" w:styleId="a2">
    <w:name w:val="二级 字符"/>
    <w:basedOn w:val="Heading1Char"/>
    <w:link w:val="a1"/>
    <w:rsid w:val="003B6AF3"/>
    <w:rPr>
      <w:rFonts w:ascii="Times New Roman" w:eastAsia="Times New Roman" w:hAnsi="Times New Roman" w:cstheme="majorBidi"/>
      <w:b w:val="0"/>
      <w:color w:val="000000" w:themeColor="text1"/>
      <w:spacing w:val="20"/>
      <w:sz w:val="30"/>
      <w:szCs w:val="30"/>
      <w14:ligatures w14:val="none"/>
    </w:rPr>
  </w:style>
  <w:style w:type="paragraph" w:customStyle="1" w:styleId="a3">
    <w:name w:val="三级"/>
    <w:basedOn w:val="Normal"/>
    <w:link w:val="a4"/>
    <w:qFormat/>
    <w:rsid w:val="003B6AF3"/>
    <w:pPr>
      <w:spacing w:line="360" w:lineRule="auto"/>
      <w:ind w:firstLineChars="200" w:firstLine="562"/>
    </w:pPr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a4">
    <w:name w:val="三级 字符"/>
    <w:basedOn w:val="DefaultParagraphFont"/>
    <w:link w:val="a3"/>
    <w:rsid w:val="003B6AF3"/>
    <w:rPr>
      <w:rFonts w:ascii="Times New Roman" w:eastAsia="SimSun" w:hAnsi="Times New Roman" w:cs="Times New Roman"/>
      <w:b/>
      <w:bCs/>
      <w:color w:val="000000" w:themeColor="text1"/>
      <w:sz w:val="28"/>
      <w:szCs w:val="28"/>
      <w14:ligatures w14:val="none"/>
    </w:rPr>
  </w:style>
  <w:style w:type="paragraph" w:customStyle="1" w:styleId="TOC1">
    <w:name w:val="TOC 标题1"/>
    <w:basedOn w:val="Heading1"/>
    <w:next w:val="Normal"/>
    <w:uiPriority w:val="39"/>
    <w:unhideWhenUsed/>
    <w:qFormat/>
    <w:rsid w:val="003B6AF3"/>
    <w:pPr>
      <w:spacing w:before="240" w:line="259" w:lineRule="auto"/>
      <w:outlineLvl w:val="9"/>
    </w:pPr>
    <w:rPr>
      <w:kern w:val="0"/>
      <w:sz w:val="32"/>
      <w:szCs w:val="32"/>
    </w:rPr>
  </w:style>
  <w:style w:type="character" w:customStyle="1" w:styleId="a5">
    <w:name w:val="样式 超链接 + (中文) +中文正文 (等线)"/>
    <w:basedOn w:val="Hyperlink"/>
    <w:rsid w:val="003B6AF3"/>
    <w:rPr>
      <w:rFonts w:ascii="Times New Roman" w:eastAsia="SimSun" w:hAnsi="Times New Roman" w:cs="SimSun"/>
      <w:bCs w:val="0"/>
      <w:noProof/>
      <w:color w:val="000000" w:themeColor="text1"/>
      <w:kern w:val="0"/>
      <w:sz w:val="24"/>
      <w:u w:val="single"/>
    </w:rPr>
  </w:style>
  <w:style w:type="character" w:customStyle="1" w:styleId="12">
    <w:name w:val="样式 超链接 + (中文) +中文正文 (等线)1"/>
    <w:basedOn w:val="Hyperlink"/>
    <w:rsid w:val="003B6AF3"/>
    <w:rPr>
      <w:rFonts w:ascii="Times New Roman" w:eastAsia="SimSun" w:hAnsi="Times New Roman" w:cs="SimSun"/>
      <w:bCs w:val="0"/>
      <w:noProof/>
      <w:color w:val="000000" w:themeColor="text1"/>
      <w:kern w:val="0"/>
      <w:sz w:val="24"/>
      <w:u w:val="none"/>
    </w:rPr>
  </w:style>
  <w:style w:type="character" w:customStyle="1" w:styleId="a6">
    <w:name w:val="样式 超链接 + 宋体 加粗"/>
    <w:basedOn w:val="Hyperlink"/>
    <w:rsid w:val="003B6AF3"/>
    <w:rPr>
      <w:rFonts w:ascii="SimSun" w:eastAsia="SimSun" w:hAnsi="SimSun" w:cs="SimSun"/>
      <w:b/>
      <w:bCs/>
      <w:noProof/>
      <w:color w:val="000000" w:themeColor="text1"/>
      <w:sz w:val="28"/>
      <w:u w:val="single"/>
    </w:rPr>
  </w:style>
  <w:style w:type="character" w:customStyle="1" w:styleId="13">
    <w:name w:val="样式 超链接 + 宋体 加粗1"/>
    <w:basedOn w:val="Hyperlink"/>
    <w:rsid w:val="003B6AF3"/>
    <w:rPr>
      <w:rFonts w:ascii="SimSun" w:eastAsia="SimSun" w:hAnsi="SimSun" w:cs="SimSun"/>
      <w:b/>
      <w:bCs/>
      <w:noProof/>
      <w:color w:val="000000" w:themeColor="text1"/>
      <w:sz w:val="28"/>
      <w:u w:val="none"/>
    </w:rPr>
  </w:style>
  <w:style w:type="character" w:customStyle="1" w:styleId="30">
    <w:name w:val="样式 超链接 + 宋体 加粗3"/>
    <w:basedOn w:val="Hyperlink"/>
    <w:qFormat/>
    <w:rsid w:val="003B6AF3"/>
    <w:rPr>
      <w:rFonts w:ascii="SimSun" w:eastAsia="SimSun" w:hAnsi="SimSun" w:cs="SimSun"/>
      <w:b/>
      <w:bCs/>
      <w:noProof/>
      <w:color w:val="000000" w:themeColor="text1"/>
      <w:sz w:val="28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B6AF3"/>
    <w:rPr>
      <w:rFonts w:ascii="Times New Roman" w:eastAsia="SimSun" w:hAnsi="Times New Roman" w:cs="Times New Roman"/>
      <w:b/>
      <w:color w:val="000000" w:themeColor="text1"/>
      <w:sz w:val="3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B6AF3"/>
    <w:rPr>
      <w:rFonts w:ascii="Times New Roman" w:eastAsia="SimSun" w:hAnsi="Times New Roman" w:cs="Times New Roman"/>
      <w:b/>
      <w:color w:val="000000" w:themeColor="text1"/>
      <w:sz w:val="28"/>
      <w:szCs w:val="3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3B6AF3"/>
    <w:rPr>
      <w:rFonts w:ascii="Times New Roman" w:eastAsia="Times New Roman" w:hAnsi="Times New Roman" w:cs="Times New Roman"/>
      <w:b/>
      <w:color w:val="000000" w:themeColor="text1"/>
      <w:sz w:val="24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3B6AF3"/>
    <w:rPr>
      <w:rFonts w:cstheme="majorBidi"/>
      <w:color w:val="0F4761" w:themeColor="accent1" w:themeShade="BF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3B6AF3"/>
    <w:rPr>
      <w:rFonts w:cstheme="majorBidi"/>
      <w:b/>
      <w:bCs/>
      <w:color w:val="0F4761" w:themeColor="accent1" w:themeShade="BF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3B6AF3"/>
    <w:rPr>
      <w:rFonts w:cstheme="majorBidi"/>
      <w:b/>
      <w:bCs/>
      <w:color w:val="595959" w:themeColor="text1" w:themeTint="A6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3B6AF3"/>
    <w:rPr>
      <w:rFonts w:cstheme="majorBidi"/>
      <w:color w:val="595959" w:themeColor="text1" w:themeTint="A6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3B6AF3"/>
    <w:rPr>
      <w:rFonts w:eastAsiaTheme="majorEastAsia" w:cstheme="majorBidi"/>
      <w:color w:val="595959" w:themeColor="text1" w:themeTint="A6"/>
      <w14:ligatures w14:val="none"/>
    </w:rPr>
  </w:style>
  <w:style w:type="paragraph" w:styleId="TOC10">
    <w:name w:val="toc 1"/>
    <w:basedOn w:val="Normal"/>
    <w:next w:val="Normal"/>
    <w:link w:val="TOC1Char"/>
    <w:autoRedefine/>
    <w:uiPriority w:val="39"/>
    <w:unhideWhenUsed/>
    <w:rsid w:val="003B6AF3"/>
    <w:pPr>
      <w:tabs>
        <w:tab w:val="right" w:leader="dot" w:pos="9062"/>
      </w:tabs>
    </w:pPr>
    <w:rPr>
      <w:rFonts w:ascii="SimSun" w:eastAsia="SimSun" w:hAnsi="SimSun" w:cs="Times New Roman"/>
      <w:b/>
      <w:sz w:val="28"/>
      <w:szCs w:val="28"/>
    </w:rPr>
  </w:style>
  <w:style w:type="character" w:customStyle="1" w:styleId="TOC1Char">
    <w:name w:val="TOC 1 Char"/>
    <w:basedOn w:val="DefaultParagraphFont"/>
    <w:link w:val="TOC10"/>
    <w:uiPriority w:val="39"/>
    <w:rsid w:val="003B6AF3"/>
    <w:rPr>
      <w:rFonts w:ascii="SimSun" w:eastAsia="SimSun" w:hAnsi="SimSun" w:cs="Times New Roman"/>
      <w:b/>
      <w:color w:val="000000" w:themeColor="text1"/>
      <w:sz w:val="28"/>
      <w:szCs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3B6AF3"/>
    <w:pPr>
      <w:spacing w:after="100" w:line="259" w:lineRule="auto"/>
      <w:ind w:left="220"/>
    </w:pPr>
    <w:rPr>
      <w:rFonts w:cs="Times New Roman"/>
      <w:kern w:val="0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6AF3"/>
    <w:pPr>
      <w:spacing w:after="100" w:line="259" w:lineRule="auto"/>
      <w:ind w:left="440"/>
    </w:pPr>
    <w:rPr>
      <w:rFonts w:cs="Times New Roman"/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qFormat/>
    <w:rsid w:val="003B6AF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B6AF3"/>
    <w:rPr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3B6AF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B6AF3"/>
    <w:rPr>
      <w:sz w:val="18"/>
      <w:szCs w:val="18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qFormat/>
    <w:rsid w:val="003B6AF3"/>
  </w:style>
  <w:style w:type="paragraph" w:styleId="Title">
    <w:name w:val="Title"/>
    <w:basedOn w:val="Normal"/>
    <w:next w:val="Normal"/>
    <w:link w:val="TitleChar"/>
    <w:autoRedefine/>
    <w:uiPriority w:val="10"/>
    <w:qFormat/>
    <w:rsid w:val="003B6A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3B6AF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3B6AF3"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3B6A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table" w:styleId="TableGrid">
    <w:name w:val="Table Grid"/>
    <w:basedOn w:val="TableNormal"/>
    <w:uiPriority w:val="99"/>
    <w:qFormat/>
    <w:rsid w:val="003B6AF3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6AF3"/>
    <w:pPr>
      <w:ind w:firstLineChars="200" w:firstLine="420"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3B6AF3"/>
    <w:pPr>
      <w:spacing w:before="160" w:after="160" w:line="278" w:lineRule="auto"/>
      <w:jc w:val="center"/>
    </w:pPr>
    <w:rPr>
      <w:i/>
      <w:iCs/>
      <w:color w:val="404040" w:themeColor="text1" w:themeTint="BF"/>
      <w:sz w:val="22"/>
    </w:rPr>
  </w:style>
  <w:style w:type="character" w:customStyle="1" w:styleId="QuoteChar">
    <w:name w:val="Quote Char"/>
    <w:basedOn w:val="DefaultParagraphFont"/>
    <w:link w:val="Quote"/>
    <w:uiPriority w:val="29"/>
    <w:qFormat/>
    <w:rsid w:val="003B6AF3"/>
    <w:rPr>
      <w:i/>
      <w:iCs/>
      <w:color w:val="404040" w:themeColor="text1" w:themeTint="BF"/>
      <w14:ligatures w14:val="none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3B6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3B6AF3"/>
    <w:rPr>
      <w:i/>
      <w:iCs/>
      <w:color w:val="0F4761" w:themeColor="accent1" w:themeShade="BF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B6AF3"/>
    <w:pPr>
      <w:spacing w:before="240" w:line="259" w:lineRule="auto"/>
      <w:jc w:val="left"/>
      <w:outlineLvl w:val="9"/>
    </w:pPr>
    <w:rPr>
      <w:rFonts w:asciiTheme="majorHAnsi" w:eastAsiaTheme="majorEastAsia" w:hAnsiTheme="majorHAnsi"/>
      <w:b w:val="0"/>
      <w:color w:val="0F4761" w:themeColor="accent1" w:themeShade="BF"/>
      <w:kern w:val="0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007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B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3B9B"/>
    <w:pPr>
      <w:spacing w:before="100" w:beforeAutospacing="1" w:after="100" w:afterAutospacing="1" w:line="240" w:lineRule="auto"/>
    </w:pPr>
    <w:rPr>
      <w:rFonts w:ascii="SimSun" w:eastAsia="SimSun" w:hAnsi="SimSun" w:cs="SimSu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1329D4-A8F1-4BFD-8C99-7B676B9B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32DE0-19C9-4236-B8A8-813B6DE45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E31F7-D5E6-40F3-B361-67EC37A2E9C5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佩珊 李</dc:creator>
  <cp:keywords/>
  <dc:description/>
  <cp:lastModifiedBy>Tanya Yandall</cp:lastModifiedBy>
  <cp:revision>3</cp:revision>
  <dcterms:created xsi:type="dcterms:W3CDTF">2026-02-15T21:42:00Z</dcterms:created>
  <dcterms:modified xsi:type="dcterms:W3CDTF">2026-02-15T21:43:00Z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