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2"/>
      </w:tblGrid>
      <w:tr w:rsidR="001564A4" w:rsidRPr="0050053A" w14:paraId="5C38377B" w14:textId="77777777" w:rsidTr="00951850">
        <w:trPr>
          <w:trHeight w:val="569"/>
          <w:jc w:val="center"/>
        </w:trPr>
        <w:tc>
          <w:tcPr>
            <w:tcW w:w="8532" w:type="dxa"/>
            <w:shd w:val="clear" w:color="auto" w:fill="auto"/>
          </w:tcPr>
          <w:p w14:paraId="5C44F357" w14:textId="13B8E80D" w:rsidR="001564A4" w:rsidRPr="0050053A" w:rsidRDefault="00B46105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The effects of CFTR modulators on sputum pH</w:t>
            </w:r>
          </w:p>
        </w:tc>
      </w:tr>
      <w:tr w:rsidR="001564A4" w:rsidRPr="0050053A" w14:paraId="0E2E035C" w14:textId="77777777" w:rsidTr="00951850">
        <w:trPr>
          <w:trHeight w:val="569"/>
          <w:jc w:val="center"/>
        </w:trPr>
        <w:tc>
          <w:tcPr>
            <w:tcW w:w="8532" w:type="dxa"/>
            <w:shd w:val="clear" w:color="auto" w:fill="auto"/>
          </w:tcPr>
          <w:p w14:paraId="73B55295" w14:textId="1C9E49DF" w:rsidR="001564A4" w:rsidRPr="00413B94" w:rsidRDefault="00B46105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Lisa M. Jurak</w:t>
            </w:r>
            <w:bookmarkStart w:id="0" w:name="Text8"/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951850">
              <w:rPr>
                <w:rFonts w:ascii="Arial" w:hAnsi="Arial" w:cs="Arial"/>
                <w:sz w:val="22"/>
                <w:szCs w:val="22"/>
                <w:lang w:val="en-US" w:eastAsia="en-GB"/>
              </w:rPr>
              <w:t>Michelle Wood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51850">
              <w:rPr>
                <w:rFonts w:ascii="Arial" w:hAnsi="Arial" w:cs="Arial"/>
                <w:sz w:val="22"/>
                <w:szCs w:val="22"/>
                <w:lang w:val="en-US" w:eastAsia="en-GB"/>
              </w:rPr>
              <w:t>, Iain Smith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86125">
              <w:rPr>
                <w:rFonts w:ascii="Arial" w:hAnsi="Arial" w:cs="Arial"/>
                <w:sz w:val="22"/>
                <w:szCs w:val="22"/>
                <w:lang w:val="en-US" w:eastAsia="en-GB"/>
              </w:rPr>
              <w:t>, Felicity Loel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886125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proofErr w:type="spellStart"/>
            <w:r w:rsidR="002167FB">
              <w:rPr>
                <w:rFonts w:ascii="Arial" w:hAnsi="Arial" w:cs="Arial"/>
                <w:sz w:val="22"/>
                <w:szCs w:val="22"/>
                <w:lang w:val="en-US" w:eastAsia="en-GB"/>
              </w:rPr>
              <w:t>Ama</w:t>
            </w:r>
            <w:r w:rsidR="00CC3A1E">
              <w:rPr>
                <w:rFonts w:ascii="Arial" w:hAnsi="Arial" w:cs="Arial"/>
                <w:sz w:val="22"/>
                <w:szCs w:val="22"/>
                <w:lang w:val="en-US" w:eastAsia="en-GB"/>
              </w:rPr>
              <w:t>li</w:t>
            </w:r>
            <w:proofErr w:type="spellEnd"/>
            <w:r w:rsidR="00CC3A1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Fernando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CC3A1E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5185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Vanessa Moore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51850">
              <w:rPr>
                <w:rFonts w:ascii="Arial" w:hAnsi="Arial" w:cs="Arial"/>
                <w:sz w:val="22"/>
                <w:szCs w:val="22"/>
                <w:lang w:val="en-US" w:eastAsia="en-GB"/>
              </w:rPr>
              <w:t>, Robyn Cobb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51850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Daniel J. Smith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and David W. Reid</w:t>
            </w:r>
            <w:r w:rsidR="00886125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1,3</w:t>
            </w:r>
          </w:p>
        </w:tc>
      </w:tr>
      <w:tr w:rsidR="001564A4" w:rsidRPr="0050053A" w14:paraId="385A19D9" w14:textId="77777777" w:rsidTr="00951850">
        <w:trPr>
          <w:trHeight w:val="157"/>
          <w:jc w:val="center"/>
        </w:trPr>
        <w:tc>
          <w:tcPr>
            <w:tcW w:w="8532" w:type="dxa"/>
            <w:shd w:val="clear" w:color="auto" w:fill="auto"/>
          </w:tcPr>
          <w:p w14:paraId="58F65A71" w14:textId="249A1DD7" w:rsidR="00B46105" w:rsidRPr="0050053A" w:rsidRDefault="00886125" w:rsidP="00B461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B4610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for Thoracic Medicine, The Prince Charles Hospital, Brisbane</w:t>
            </w:r>
          </w:p>
          <w:p w14:paraId="7DF87EB5" w14:textId="4EC5B286" w:rsidR="00B46105" w:rsidRDefault="00886125" w:rsidP="00B461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B4610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inflammation and infection laboratory, QIMR Berghofer Medical Research Institute, Brisbane</w:t>
            </w:r>
          </w:p>
          <w:p w14:paraId="45ED36BF" w14:textId="7082B8AD" w:rsidR="001564A4" w:rsidRPr="0050053A" w:rsidRDefault="00886125" w:rsidP="00B4610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4610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Lung Bacteria, QIMR Berghofer Medical Research Institute, Brisbane</w:t>
            </w:r>
          </w:p>
        </w:tc>
      </w:tr>
      <w:tr w:rsidR="001564A4" w:rsidRPr="0050053A" w14:paraId="6DAF615A" w14:textId="77777777" w:rsidTr="00951850">
        <w:trPr>
          <w:trHeight w:hRule="exact" w:val="8545"/>
          <w:jc w:val="center"/>
        </w:trPr>
        <w:tc>
          <w:tcPr>
            <w:tcW w:w="8532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6A32A50E" w:rsidR="001564A4" w:rsidRPr="0050053A" w:rsidRDefault="00F8721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advent of </w:t>
            </w:r>
            <w:r w:rsidR="00C61A11">
              <w:rPr>
                <w:sz w:val="22"/>
                <w:szCs w:val="22"/>
              </w:rPr>
              <w:t>cystic fibrosis transmembrane conductance regulator (CFTR) modulator therapies ha</w:t>
            </w:r>
            <w:r>
              <w:rPr>
                <w:sz w:val="22"/>
                <w:szCs w:val="22"/>
              </w:rPr>
              <w:t>s</w:t>
            </w:r>
            <w:r w:rsidR="00C61A11">
              <w:rPr>
                <w:sz w:val="22"/>
                <w:szCs w:val="22"/>
              </w:rPr>
              <w:t xml:space="preserve"> </w:t>
            </w:r>
            <w:r w:rsidR="00456111">
              <w:rPr>
                <w:sz w:val="22"/>
                <w:szCs w:val="22"/>
              </w:rPr>
              <w:t xml:space="preserve">substantially improved disease </w:t>
            </w:r>
            <w:r>
              <w:rPr>
                <w:sz w:val="22"/>
                <w:szCs w:val="22"/>
              </w:rPr>
              <w:t xml:space="preserve">outcomes </w:t>
            </w:r>
            <w:r w:rsidR="00456111">
              <w:rPr>
                <w:sz w:val="22"/>
                <w:szCs w:val="22"/>
              </w:rPr>
              <w:t>and prognosis of people living with cystic fibrosis (CF).</w:t>
            </w:r>
            <w:r w:rsidR="001564A4">
              <w:rPr>
                <w:sz w:val="22"/>
                <w:szCs w:val="22"/>
              </w:rPr>
              <w:br/>
            </w:r>
          </w:p>
          <w:p w14:paraId="2251F6D5" w14:textId="270601B8" w:rsidR="001564A4" w:rsidRPr="0050053A" w:rsidRDefault="00F8721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Airway pH </w:t>
            </w:r>
            <w:r w:rsidR="0035727E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reduced in CF in human </w:t>
            </w:r>
            <w:r w:rsidR="0035727E">
              <w:rPr>
                <w:sz w:val="22"/>
                <w:szCs w:val="22"/>
              </w:rPr>
              <w:t xml:space="preserve">and animal </w:t>
            </w:r>
            <w:r>
              <w:rPr>
                <w:sz w:val="22"/>
                <w:szCs w:val="22"/>
              </w:rPr>
              <w:t>studies of exhaled breath condensates</w:t>
            </w:r>
            <w:r w:rsidR="003572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35727E">
              <w:rPr>
                <w:sz w:val="22"/>
                <w:szCs w:val="22"/>
              </w:rPr>
              <w:t xml:space="preserve">This preliminary study aimed to </w:t>
            </w:r>
            <w:r w:rsidR="00B46105">
              <w:rPr>
                <w:sz w:val="22"/>
                <w:szCs w:val="22"/>
              </w:rPr>
              <w:t xml:space="preserve">investigate how </w:t>
            </w:r>
            <w:r>
              <w:rPr>
                <w:sz w:val="22"/>
                <w:szCs w:val="22"/>
              </w:rPr>
              <w:t xml:space="preserve">CFTR </w:t>
            </w:r>
            <w:r w:rsidR="00B46105">
              <w:rPr>
                <w:sz w:val="22"/>
                <w:szCs w:val="22"/>
              </w:rPr>
              <w:t>modulator therap</w:t>
            </w:r>
            <w:r>
              <w:rPr>
                <w:sz w:val="22"/>
                <w:szCs w:val="22"/>
              </w:rPr>
              <w:t>ies</w:t>
            </w:r>
            <w:r w:rsidR="00B46105">
              <w:rPr>
                <w:sz w:val="22"/>
                <w:szCs w:val="22"/>
              </w:rPr>
              <w:t xml:space="preserve"> changed the pH and cellular</w:t>
            </w:r>
            <w:r>
              <w:rPr>
                <w:sz w:val="22"/>
                <w:szCs w:val="22"/>
              </w:rPr>
              <w:t>ity</w:t>
            </w:r>
            <w:r w:rsidR="00B46105">
              <w:rPr>
                <w:sz w:val="22"/>
                <w:szCs w:val="22"/>
              </w:rPr>
              <w:t xml:space="preserve"> of sputum </w:t>
            </w:r>
            <w:r w:rsidR="0035727E">
              <w:rPr>
                <w:sz w:val="22"/>
                <w:szCs w:val="22"/>
              </w:rPr>
              <w:t xml:space="preserve">in adults, </w:t>
            </w:r>
            <w:r w:rsidR="00B46105">
              <w:rPr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>examined whether</w:t>
            </w:r>
            <w:r w:rsidR="00B46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changes in pH or airway inflammation</w:t>
            </w:r>
            <w:r w:rsidR="00B461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were </w:t>
            </w:r>
            <w:r w:rsidR="00B46105">
              <w:rPr>
                <w:sz w:val="22"/>
                <w:szCs w:val="22"/>
              </w:rPr>
              <w:t>relate</w:t>
            </w:r>
            <w:r>
              <w:rPr>
                <w:sz w:val="22"/>
                <w:szCs w:val="22"/>
              </w:rPr>
              <w:t>d</w:t>
            </w:r>
            <w:r w:rsidR="00B46105">
              <w:rPr>
                <w:sz w:val="22"/>
                <w:szCs w:val="22"/>
              </w:rPr>
              <w:t xml:space="preserve"> to clinical outcomes.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56A23C15" w:rsidR="001564A4" w:rsidRPr="00B46105" w:rsidRDefault="00B46105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Sputum </w:t>
            </w:r>
            <w:r w:rsidR="0035727E">
              <w:rPr>
                <w:sz w:val="22"/>
                <w:szCs w:val="22"/>
              </w:rPr>
              <w:t xml:space="preserve">was </w:t>
            </w:r>
            <w:r>
              <w:rPr>
                <w:sz w:val="22"/>
                <w:szCs w:val="22"/>
              </w:rPr>
              <w:t xml:space="preserve">collected </w:t>
            </w:r>
            <w:r w:rsidR="0035727E">
              <w:rPr>
                <w:sz w:val="22"/>
                <w:szCs w:val="22"/>
              </w:rPr>
              <w:t xml:space="preserve">from participants </w:t>
            </w:r>
            <w:r>
              <w:rPr>
                <w:sz w:val="22"/>
                <w:szCs w:val="22"/>
              </w:rPr>
              <w:t xml:space="preserve">prior to starting modulator therapy and repeated </w:t>
            </w:r>
            <w:r w:rsidR="00C90253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 xml:space="preserve"> 12 months. Sputum pH was measured and cell counts were recorded at each time point. We </w:t>
            </w:r>
            <w:r w:rsidR="00F8721E">
              <w:rPr>
                <w:sz w:val="22"/>
                <w:szCs w:val="22"/>
              </w:rPr>
              <w:t xml:space="preserve">present </w:t>
            </w:r>
            <w:r>
              <w:rPr>
                <w:sz w:val="22"/>
                <w:szCs w:val="22"/>
              </w:rPr>
              <w:t xml:space="preserve">an exploratory </w:t>
            </w:r>
            <w:r w:rsidR="00F8721E">
              <w:rPr>
                <w:sz w:val="22"/>
                <w:szCs w:val="22"/>
              </w:rPr>
              <w:t xml:space="preserve">initial </w:t>
            </w:r>
            <w:r>
              <w:rPr>
                <w:sz w:val="22"/>
                <w:szCs w:val="22"/>
              </w:rPr>
              <w:t>analysis</w:t>
            </w:r>
            <w:r w:rsidR="002875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to evaluate the relationship between </w:t>
            </w:r>
            <w:r w:rsidR="00454EAF">
              <w:rPr>
                <w:sz w:val="22"/>
                <w:szCs w:val="22"/>
              </w:rPr>
              <w:t xml:space="preserve">sputum </w:t>
            </w:r>
            <w:r>
              <w:rPr>
                <w:sz w:val="22"/>
                <w:szCs w:val="22"/>
              </w:rPr>
              <w:t>pH</w:t>
            </w:r>
            <w:r w:rsidR="002167FB">
              <w:rPr>
                <w:sz w:val="22"/>
                <w:szCs w:val="22"/>
              </w:rPr>
              <w:t xml:space="preserve"> and</w:t>
            </w:r>
            <w:r>
              <w:rPr>
                <w:sz w:val="22"/>
                <w:szCs w:val="22"/>
              </w:rPr>
              <w:t xml:space="preserve"> inflammatory cell counts</w:t>
            </w:r>
            <w:r w:rsidR="00666D2A">
              <w:rPr>
                <w:sz w:val="22"/>
                <w:szCs w:val="22"/>
              </w:rPr>
              <w:t xml:space="preserve"> in response to modulator therapy</w:t>
            </w:r>
            <w:r w:rsidR="002167FB">
              <w:rPr>
                <w:sz w:val="22"/>
                <w:szCs w:val="22"/>
              </w:rPr>
              <w:t>.</w:t>
            </w:r>
          </w:p>
          <w:p w14:paraId="7378A113" w14:textId="77777777" w:rsidR="00951850" w:rsidRDefault="00951850" w:rsidP="000A28E2">
            <w:pPr>
              <w:pStyle w:val="Pa12"/>
              <w:rPr>
                <w:rStyle w:val="A4"/>
                <w:b/>
                <w:bCs/>
              </w:rPr>
            </w:pPr>
          </w:p>
          <w:p w14:paraId="68537800" w14:textId="669AC58C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7B922A5A" w14:textId="6F668E67" w:rsidR="00951850" w:rsidRPr="0058593A" w:rsidRDefault="0035727E" w:rsidP="009518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13914">
              <w:rPr>
                <w:sz w:val="22"/>
                <w:szCs w:val="22"/>
              </w:rPr>
              <w:t xml:space="preserve">he mean </w:t>
            </w:r>
            <w:r w:rsidR="0058593A" w:rsidRPr="0058593A">
              <w:rPr>
                <w:sz w:val="22"/>
                <w:szCs w:val="22"/>
              </w:rPr>
              <w:t xml:space="preserve">sputum pH </w:t>
            </w:r>
            <w:r w:rsidR="00813914">
              <w:rPr>
                <w:sz w:val="22"/>
                <w:szCs w:val="22"/>
              </w:rPr>
              <w:t xml:space="preserve">at baseline </w:t>
            </w:r>
            <w:r w:rsidR="0058593A" w:rsidRPr="0058593A">
              <w:rPr>
                <w:sz w:val="22"/>
                <w:szCs w:val="22"/>
              </w:rPr>
              <w:t>was</w:t>
            </w:r>
            <w:r w:rsidR="00813914">
              <w:rPr>
                <w:sz w:val="22"/>
                <w:szCs w:val="22"/>
              </w:rPr>
              <w:t xml:space="preserve"> 6.9</w:t>
            </w:r>
            <w:r w:rsidR="00F777FB">
              <w:rPr>
                <w:sz w:val="22"/>
                <w:szCs w:val="22"/>
              </w:rPr>
              <w:sym w:font="Symbol" w:char="F0B1"/>
            </w:r>
            <w:r w:rsidR="00F777FB">
              <w:rPr>
                <w:sz w:val="22"/>
                <w:szCs w:val="22"/>
              </w:rPr>
              <w:t xml:space="preserve"> 0.12</w:t>
            </w:r>
            <w:r w:rsidR="0058593A" w:rsidRPr="0058593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A</w:t>
            </w:r>
            <w:r w:rsidR="0058593A" w:rsidRPr="0058593A">
              <w:rPr>
                <w:sz w:val="22"/>
                <w:szCs w:val="22"/>
              </w:rPr>
              <w:t>t 12</w:t>
            </w:r>
            <w:r w:rsidR="00CC3A1E">
              <w:rPr>
                <w:sz w:val="22"/>
                <w:szCs w:val="22"/>
              </w:rPr>
              <w:t xml:space="preserve"> </w:t>
            </w:r>
            <w:r w:rsidR="0058593A" w:rsidRPr="0058593A">
              <w:rPr>
                <w:sz w:val="22"/>
                <w:szCs w:val="22"/>
              </w:rPr>
              <w:t>months</w:t>
            </w:r>
            <w:r w:rsidR="0058593A">
              <w:rPr>
                <w:sz w:val="22"/>
                <w:szCs w:val="22"/>
              </w:rPr>
              <w:t xml:space="preserve">, </w:t>
            </w:r>
            <w:r w:rsidR="00813914">
              <w:rPr>
                <w:sz w:val="22"/>
                <w:szCs w:val="22"/>
              </w:rPr>
              <w:t xml:space="preserve">the </w:t>
            </w:r>
            <w:r w:rsidR="0058593A">
              <w:rPr>
                <w:sz w:val="22"/>
                <w:szCs w:val="22"/>
              </w:rPr>
              <w:t xml:space="preserve">sputum pH </w:t>
            </w:r>
            <w:r>
              <w:rPr>
                <w:sz w:val="22"/>
                <w:szCs w:val="22"/>
              </w:rPr>
              <w:t xml:space="preserve">significantly increased to a </w:t>
            </w:r>
            <w:r w:rsidR="00C90253">
              <w:rPr>
                <w:sz w:val="22"/>
                <w:szCs w:val="22"/>
              </w:rPr>
              <w:t xml:space="preserve">neutral </w:t>
            </w:r>
            <w:r w:rsidR="00813914">
              <w:rPr>
                <w:sz w:val="22"/>
                <w:szCs w:val="22"/>
              </w:rPr>
              <w:t xml:space="preserve">mean pH of 7.4 </w:t>
            </w:r>
            <w:r w:rsidR="00F777FB">
              <w:rPr>
                <w:sz w:val="22"/>
                <w:szCs w:val="22"/>
              </w:rPr>
              <w:sym w:font="Symbol" w:char="F0B1"/>
            </w:r>
            <w:r w:rsidR="00F777FB">
              <w:rPr>
                <w:sz w:val="22"/>
                <w:szCs w:val="22"/>
              </w:rPr>
              <w:t xml:space="preserve"> 0.13 </w:t>
            </w:r>
            <w:r w:rsidR="0058593A">
              <w:rPr>
                <w:sz w:val="22"/>
                <w:szCs w:val="22"/>
              </w:rPr>
              <w:t xml:space="preserve">(p= 0.05). Interestingly, we found no change in inflammatory cell counts between baseline and 12 month follow up. </w:t>
            </w:r>
            <w:r>
              <w:rPr>
                <w:sz w:val="22"/>
                <w:szCs w:val="22"/>
              </w:rPr>
              <w:t>T</w:t>
            </w:r>
            <w:r w:rsidR="002167FB">
              <w:rPr>
                <w:sz w:val="22"/>
                <w:szCs w:val="22"/>
              </w:rPr>
              <w:t>hese findings</w:t>
            </w:r>
            <w:r>
              <w:rPr>
                <w:sz w:val="22"/>
                <w:szCs w:val="22"/>
              </w:rPr>
              <w:t xml:space="preserve"> will be validated </w:t>
            </w:r>
            <w:r w:rsidR="002167FB">
              <w:rPr>
                <w:sz w:val="22"/>
                <w:szCs w:val="22"/>
              </w:rPr>
              <w:t xml:space="preserve">in a larger cohort of patients </w:t>
            </w:r>
            <w:r>
              <w:rPr>
                <w:sz w:val="22"/>
                <w:szCs w:val="22"/>
              </w:rPr>
              <w:t xml:space="preserve">to confirm the relationship between </w:t>
            </w:r>
            <w:r w:rsidR="00F777FB">
              <w:rPr>
                <w:sz w:val="22"/>
                <w:szCs w:val="22"/>
              </w:rPr>
              <w:t>sputum</w:t>
            </w:r>
            <w:r w:rsidR="00CC3A1E">
              <w:rPr>
                <w:sz w:val="22"/>
                <w:szCs w:val="22"/>
              </w:rPr>
              <w:t xml:space="preserve"> and</w:t>
            </w:r>
            <w:r w:rsidR="002167FB">
              <w:rPr>
                <w:sz w:val="22"/>
                <w:szCs w:val="22"/>
              </w:rPr>
              <w:t xml:space="preserve"> clinical response to modulator therapy. </w:t>
            </w:r>
          </w:p>
          <w:p w14:paraId="24326F60" w14:textId="77777777" w:rsidR="00951850" w:rsidRPr="00951850" w:rsidRDefault="00951850" w:rsidP="00951850">
            <w:pPr>
              <w:pStyle w:val="Default"/>
            </w:pPr>
          </w:p>
          <w:p w14:paraId="652F7BE1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9B04572" w14:textId="176C492D" w:rsidR="001564A4" w:rsidRPr="0050053A" w:rsidRDefault="00454EAF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analysis provides a unique insight into the effect new CFTR modulator therapies have on sputum composition providing insight into the substantial reduction in sputum availability from adults with CF as a consequence of this new therapy. </w:t>
            </w:r>
            <w:r w:rsidR="001564A4">
              <w:rPr>
                <w:sz w:val="22"/>
                <w:szCs w:val="22"/>
              </w:rPr>
              <w:br/>
            </w:r>
          </w:p>
          <w:p w14:paraId="196E7BAC" w14:textId="2272AF4C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3E8B4283" w14:textId="4542658B" w:rsidR="001564A4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4A0991">
              <w:rPr>
                <w:rStyle w:val="A4"/>
                <w:b/>
                <w:bCs/>
              </w:rPr>
              <w:t>TPCH Foundation “TEAM grant”.</w:t>
            </w:r>
          </w:p>
          <w:p w14:paraId="2EE7EA3B" w14:textId="75479F2C" w:rsidR="004A0991" w:rsidRDefault="004A0991" w:rsidP="004A0991">
            <w:pPr>
              <w:pStyle w:val="Default"/>
            </w:pPr>
            <w:r>
              <w:t>Queensland Health Clinical Research Fellowship (Dr David Reid)</w:t>
            </w:r>
            <w:r w:rsidR="005B36A7">
              <w:t>.</w:t>
            </w:r>
          </w:p>
          <w:p w14:paraId="090BA883" w14:textId="77777777" w:rsidR="00890215" w:rsidRPr="00951850" w:rsidRDefault="00890215" w:rsidP="00951850">
            <w:pPr>
              <w:pStyle w:val="Default"/>
            </w:pP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11749E"/>
    <w:rsid w:val="001564A4"/>
    <w:rsid w:val="001D0C0E"/>
    <w:rsid w:val="002167FB"/>
    <w:rsid w:val="0028756A"/>
    <w:rsid w:val="0035727E"/>
    <w:rsid w:val="00431B95"/>
    <w:rsid w:val="00454EAF"/>
    <w:rsid w:val="00456111"/>
    <w:rsid w:val="004A0991"/>
    <w:rsid w:val="0051574E"/>
    <w:rsid w:val="0058593A"/>
    <w:rsid w:val="005B36A7"/>
    <w:rsid w:val="00666D2A"/>
    <w:rsid w:val="00813914"/>
    <w:rsid w:val="008803FA"/>
    <w:rsid w:val="00886125"/>
    <w:rsid w:val="00890215"/>
    <w:rsid w:val="00951850"/>
    <w:rsid w:val="00B12E32"/>
    <w:rsid w:val="00B46105"/>
    <w:rsid w:val="00C61A11"/>
    <w:rsid w:val="00C90253"/>
    <w:rsid w:val="00CA4D0E"/>
    <w:rsid w:val="00CC3A1E"/>
    <w:rsid w:val="00E0700F"/>
    <w:rsid w:val="00E55F98"/>
    <w:rsid w:val="00F176D1"/>
    <w:rsid w:val="00F777FB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F872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Lisa Jurak</cp:lastModifiedBy>
  <cp:revision>7</cp:revision>
  <dcterms:created xsi:type="dcterms:W3CDTF">2023-10-17T21:49:00Z</dcterms:created>
  <dcterms:modified xsi:type="dcterms:W3CDTF">2023-10-19T04:08:00Z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2023-10-11T22:19:06Z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52a87a99-3874-4298-81bc-04c7a567966f</vt:lpwstr>
  </property>
  <property fmtid="{D5CDD505-2E9C-101B-9397-08002B2CF9AE}" pid="10" name="MSIP_Label_0f488380-630a-4f55-a077-a19445e3f360_ContentBits">
    <vt:lpwstr>0</vt:lpwstr>
  </property>
</Properties>
</file>