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640" w:type="dxa"/>
        <w:tblInd w:w="108" w:type="dxa"/>
        <w:tblLayout w:type="fixed"/>
        <w:tblLook w:val="01E0" w:firstRow="1" w:lastRow="1" w:firstColumn="1" w:lastColumn="1" w:noHBand="0" w:noVBand="0"/>
      </w:tblPr>
      <w:tblGrid>
        <w:gridCol w:w="8640"/>
      </w:tblGrid>
      <w:tr w:rsidR="00C8423A" w:rsidRPr="009E6387" w14:paraId="54686958" w14:textId="77777777" w:rsidTr="2A282A6B">
        <w:tc>
          <w:tcPr>
            <w:tcW w:w="8640" w:type="dxa"/>
            <w:shd w:val="clear" w:color="auto" w:fill="F2F2F2" w:themeFill="background1" w:themeFillShade="F2"/>
          </w:tcPr>
          <w:p w14:paraId="0033B15B" w14:textId="6FDB77C7" w:rsidR="00C8423A" w:rsidRPr="00195997" w:rsidRDefault="00ED39B0" w:rsidP="00195997">
            <w:pPr>
              <w:jc w:val="both"/>
              <w:rPr>
                <w:rFonts w:ascii="Arial" w:hAnsi="Arial" w:cs="Arial"/>
                <w:bCs/>
                <w:i/>
                <w:iCs/>
                <w:sz w:val="22"/>
                <w:szCs w:val="22"/>
              </w:rPr>
            </w:pPr>
            <w:r w:rsidRPr="00195997">
              <w:rPr>
                <w:rFonts w:ascii="Arial" w:hAnsi="Arial" w:cs="Arial"/>
                <w:bCs/>
                <w:i/>
                <w:iCs/>
                <w:sz w:val="22"/>
                <w:szCs w:val="22"/>
              </w:rPr>
              <w:t>Panel</w:t>
            </w:r>
          </w:p>
          <w:p w14:paraId="689095F4" w14:textId="77777777" w:rsidR="00C8423A" w:rsidRPr="00195997" w:rsidRDefault="1F75A348" w:rsidP="00195997">
            <w:pPr>
              <w:pStyle w:val="NormalWeb"/>
              <w:spacing w:before="0" w:beforeAutospacing="0" w:after="0" w:afterAutospacing="0"/>
              <w:rPr>
                <w:rFonts w:ascii="Arial" w:hAnsi="Arial" w:cs="Arial"/>
                <w:b/>
                <w:bCs/>
                <w:sz w:val="22"/>
                <w:szCs w:val="22"/>
              </w:rPr>
            </w:pPr>
            <w:r w:rsidRPr="00195997">
              <w:rPr>
                <w:rFonts w:ascii="Arial" w:hAnsi="Arial" w:cs="Arial"/>
                <w:b/>
                <w:bCs/>
                <w:sz w:val="22"/>
                <w:szCs w:val="22"/>
              </w:rPr>
              <w:t xml:space="preserve">Adaptation is more than just building sea walls. The Role of Local Governments in Identifying and Responding to Climate-related Transition Risks </w:t>
            </w:r>
          </w:p>
          <w:p w14:paraId="2BA78364" w14:textId="0DAAD8C0" w:rsidR="00ED39B0" w:rsidRPr="009E6387" w:rsidRDefault="00ED39B0" w:rsidP="00195997">
            <w:pPr>
              <w:pStyle w:val="NormalWeb"/>
              <w:spacing w:before="0" w:beforeAutospacing="0" w:after="0" w:afterAutospacing="0"/>
              <w:rPr>
                <w:rFonts w:ascii="Arial" w:hAnsi="Arial" w:cs="Arial"/>
                <w:sz w:val="22"/>
                <w:szCs w:val="22"/>
              </w:rPr>
            </w:pPr>
          </w:p>
        </w:tc>
      </w:tr>
      <w:tr w:rsidR="00C8423A" w:rsidRPr="009E6387" w14:paraId="3E0FEA24" w14:textId="77777777" w:rsidTr="2A282A6B">
        <w:trPr>
          <w:trHeight w:val="699"/>
        </w:trPr>
        <w:tc>
          <w:tcPr>
            <w:tcW w:w="8640" w:type="dxa"/>
          </w:tcPr>
          <w:p w14:paraId="6821BBD5" w14:textId="77777777" w:rsidR="00ED39B0" w:rsidRDefault="00ED39B0" w:rsidP="1F75A348">
            <w:pPr>
              <w:pStyle w:val="NormalWeb"/>
              <w:rPr>
                <w:rFonts w:ascii="Arial" w:hAnsi="Arial" w:cs="Arial"/>
                <w:sz w:val="22"/>
                <w:szCs w:val="22"/>
              </w:rPr>
            </w:pPr>
          </w:p>
          <w:p w14:paraId="4222DD93" w14:textId="5598F5FD" w:rsidR="1F75A348" w:rsidRPr="009E6387" w:rsidRDefault="1F75A348" w:rsidP="1F75A348">
            <w:pPr>
              <w:pStyle w:val="NormalWeb"/>
              <w:rPr>
                <w:rFonts w:ascii="Arial" w:hAnsi="Arial" w:cs="Arial"/>
                <w:sz w:val="22"/>
                <w:szCs w:val="22"/>
              </w:rPr>
            </w:pPr>
            <w:r w:rsidRPr="009E6387">
              <w:rPr>
                <w:rFonts w:ascii="Arial" w:hAnsi="Arial" w:cs="Arial"/>
                <w:sz w:val="22"/>
                <w:szCs w:val="22"/>
              </w:rPr>
              <w:t xml:space="preserve">Local governments are at the frontline of climate adaptation, facing increasing challenges from climate-related physical and transition risks that extend beyond emissions reduction. While transition risks are commonly associated with energy transitions and carbon-intensive industries, a critical gap remains: the failure to recognise transition risk in climate adaptation. While, acute and chronic climate events will fundamentally alter asset management, financial planning, and the provision of essential services, the transition to a low carbon and resilient future also presents </w:t>
            </w:r>
            <w:proofErr w:type="gramStart"/>
            <w:r w:rsidRPr="009E6387">
              <w:rPr>
                <w:rFonts w:ascii="Arial" w:hAnsi="Arial" w:cs="Arial"/>
                <w:sz w:val="22"/>
                <w:szCs w:val="22"/>
              </w:rPr>
              <w:t>a number of</w:t>
            </w:r>
            <w:proofErr w:type="gramEnd"/>
            <w:r w:rsidRPr="009E6387">
              <w:rPr>
                <w:rFonts w:ascii="Arial" w:hAnsi="Arial" w:cs="Arial"/>
                <w:sz w:val="22"/>
                <w:szCs w:val="22"/>
              </w:rPr>
              <w:t xml:space="preserve"> risks that must be explored (e.g. insurance, litigation, market, technology risks). </w:t>
            </w:r>
          </w:p>
          <w:p w14:paraId="3632294D" w14:textId="35CBC443" w:rsidR="1F75A348" w:rsidRPr="009E6387" w:rsidRDefault="1F75A348" w:rsidP="1F75A348">
            <w:pPr>
              <w:pStyle w:val="NormalWeb"/>
              <w:rPr>
                <w:rFonts w:ascii="Arial" w:hAnsi="Arial" w:cs="Arial"/>
                <w:sz w:val="22"/>
                <w:szCs w:val="22"/>
              </w:rPr>
            </w:pPr>
            <w:r w:rsidRPr="009E6387">
              <w:rPr>
                <w:rFonts w:ascii="Arial" w:hAnsi="Arial" w:cs="Arial"/>
                <w:sz w:val="22"/>
                <w:szCs w:val="22"/>
              </w:rPr>
              <w:t xml:space="preserve">Research highlights that climate-related risks are multifaceted, encompassing acute risks such as extreme weather events (IPCC, 2022) and chronic risks such as rising sea levels and prolonged droughts (Hauer et al., 2020). These risks necessitate proactive financial planning and governance structures within local governments. Furthermore, transition risks associated with adaptation and transition have been overlooked, resulting in governance blind spots that threaten resilience and service continuity (Carney, 2015). A failure to incorporate these risks into local government planning could lead to significant economic losses, as highlighted by recent case studies in municipal climate resilience (Mehryar &amp; </w:t>
            </w:r>
            <w:proofErr w:type="spellStart"/>
            <w:r w:rsidRPr="009E6387">
              <w:rPr>
                <w:rFonts w:ascii="Arial" w:hAnsi="Arial" w:cs="Arial"/>
                <w:sz w:val="22"/>
                <w:szCs w:val="22"/>
              </w:rPr>
              <w:t>Surminski</w:t>
            </w:r>
            <w:proofErr w:type="spellEnd"/>
            <w:r w:rsidRPr="009E6387">
              <w:rPr>
                <w:rFonts w:ascii="Arial" w:hAnsi="Arial" w:cs="Arial"/>
                <w:sz w:val="22"/>
                <w:szCs w:val="22"/>
              </w:rPr>
              <w:t>, 2021).</w:t>
            </w:r>
          </w:p>
          <w:p w14:paraId="5BF920CF" w14:textId="6B115B85" w:rsidR="0046562A" w:rsidRPr="009E6387" w:rsidRDefault="1F75A348" w:rsidP="0046562A">
            <w:pPr>
              <w:pStyle w:val="NormalWeb"/>
              <w:rPr>
                <w:rFonts w:ascii="Arial" w:hAnsi="Arial" w:cs="Arial"/>
                <w:sz w:val="22"/>
                <w:szCs w:val="22"/>
              </w:rPr>
            </w:pPr>
            <w:r w:rsidRPr="009E6387">
              <w:rPr>
                <w:rFonts w:ascii="Arial" w:hAnsi="Arial" w:cs="Arial"/>
                <w:sz w:val="22"/>
                <w:szCs w:val="22"/>
              </w:rPr>
              <w:t xml:space="preserve">This panel will explore how local governments identify climate-related risks and address transition risks from an organizational perspective. The session will highlight the need for comprehensive climate-related risk assessments that transition </w:t>
            </w:r>
            <w:proofErr w:type="gramStart"/>
            <w:r w:rsidRPr="009E6387">
              <w:rPr>
                <w:rFonts w:ascii="Arial" w:hAnsi="Arial" w:cs="Arial"/>
                <w:sz w:val="22"/>
                <w:szCs w:val="22"/>
              </w:rPr>
              <w:t>risk as a whole</w:t>
            </w:r>
            <w:proofErr w:type="gramEnd"/>
            <w:r w:rsidRPr="009E6387">
              <w:rPr>
                <w:rFonts w:ascii="Arial" w:hAnsi="Arial" w:cs="Arial"/>
                <w:sz w:val="22"/>
                <w:szCs w:val="22"/>
              </w:rPr>
              <w:t>. The panellists will discuss best practices, methodologies for assessing risks, and case studies of local governments integrating climate adaptation into financial and operational planning.</w:t>
            </w:r>
          </w:p>
          <w:p w14:paraId="7F6C9E0E" w14:textId="77777777" w:rsidR="0046562A" w:rsidRPr="009E6387" w:rsidRDefault="0046562A" w:rsidP="0046562A">
            <w:pPr>
              <w:pStyle w:val="NormalWeb"/>
              <w:rPr>
                <w:rFonts w:ascii="Arial" w:hAnsi="Arial" w:cs="Arial"/>
                <w:sz w:val="22"/>
                <w:szCs w:val="22"/>
              </w:rPr>
            </w:pPr>
            <w:r w:rsidRPr="009E6387">
              <w:rPr>
                <w:rFonts w:ascii="Arial" w:hAnsi="Arial" w:cs="Arial"/>
                <w:sz w:val="22"/>
                <w:szCs w:val="22"/>
              </w:rPr>
              <w:t>Key themes include:</w:t>
            </w:r>
          </w:p>
          <w:p w14:paraId="04F87EC5" w14:textId="77777777" w:rsidR="0046562A" w:rsidRPr="009E6387" w:rsidRDefault="0046562A" w:rsidP="0046562A">
            <w:pPr>
              <w:pStyle w:val="NormalWeb"/>
              <w:numPr>
                <w:ilvl w:val="0"/>
                <w:numId w:val="8"/>
              </w:numPr>
              <w:rPr>
                <w:rFonts w:ascii="Arial" w:hAnsi="Arial" w:cs="Arial"/>
                <w:sz w:val="22"/>
                <w:szCs w:val="22"/>
              </w:rPr>
            </w:pPr>
            <w:r w:rsidRPr="009E6387">
              <w:rPr>
                <w:rFonts w:ascii="Arial" w:hAnsi="Arial" w:cs="Arial"/>
                <w:sz w:val="22"/>
                <w:szCs w:val="22"/>
              </w:rPr>
              <w:t>The importance of integrating physical climate risks (acute and chronic) into financial planning and asset management (IPCC, 2022).</w:t>
            </w:r>
          </w:p>
          <w:p w14:paraId="4C23EC76" w14:textId="77777777" w:rsidR="0046562A" w:rsidRPr="009E6387" w:rsidRDefault="0046562A" w:rsidP="0046562A">
            <w:pPr>
              <w:pStyle w:val="NormalWeb"/>
              <w:numPr>
                <w:ilvl w:val="0"/>
                <w:numId w:val="8"/>
              </w:numPr>
              <w:rPr>
                <w:rFonts w:ascii="Arial" w:hAnsi="Arial" w:cs="Arial"/>
                <w:sz w:val="22"/>
                <w:szCs w:val="22"/>
              </w:rPr>
            </w:pPr>
            <w:r w:rsidRPr="009E6387">
              <w:rPr>
                <w:rFonts w:ascii="Arial" w:hAnsi="Arial" w:cs="Arial"/>
                <w:sz w:val="22"/>
                <w:szCs w:val="22"/>
              </w:rPr>
              <w:t>Transition risks in local governance: beyond carbon mitigation and toward adaptation (Carney, 2015).</w:t>
            </w:r>
          </w:p>
          <w:p w14:paraId="19333ABE" w14:textId="77777777" w:rsidR="0046562A" w:rsidRPr="009E6387" w:rsidRDefault="0046562A" w:rsidP="0046562A">
            <w:pPr>
              <w:pStyle w:val="NormalWeb"/>
              <w:numPr>
                <w:ilvl w:val="0"/>
                <w:numId w:val="8"/>
              </w:numPr>
              <w:rPr>
                <w:rFonts w:ascii="Arial" w:hAnsi="Arial" w:cs="Arial"/>
                <w:sz w:val="22"/>
                <w:szCs w:val="22"/>
              </w:rPr>
            </w:pPr>
            <w:r w:rsidRPr="009E6387">
              <w:rPr>
                <w:rFonts w:ascii="Arial" w:hAnsi="Arial" w:cs="Arial"/>
                <w:sz w:val="22"/>
                <w:szCs w:val="22"/>
              </w:rPr>
              <w:t xml:space="preserve">The consequences of failing to address transition risks linked to adaptation, including economic, social, and environmental costs (Mehryar &amp; </w:t>
            </w:r>
            <w:proofErr w:type="spellStart"/>
            <w:r w:rsidRPr="009E6387">
              <w:rPr>
                <w:rFonts w:ascii="Arial" w:hAnsi="Arial" w:cs="Arial"/>
                <w:sz w:val="22"/>
                <w:szCs w:val="22"/>
              </w:rPr>
              <w:t>Surminski</w:t>
            </w:r>
            <w:proofErr w:type="spellEnd"/>
            <w:r w:rsidRPr="009E6387">
              <w:rPr>
                <w:rFonts w:ascii="Arial" w:hAnsi="Arial" w:cs="Arial"/>
                <w:sz w:val="22"/>
                <w:szCs w:val="22"/>
              </w:rPr>
              <w:t>, 2021).</w:t>
            </w:r>
          </w:p>
          <w:p w14:paraId="5D6156A0" w14:textId="77777777" w:rsidR="0046562A" w:rsidRPr="009E6387" w:rsidRDefault="0046562A" w:rsidP="0046562A">
            <w:pPr>
              <w:pStyle w:val="NormalWeb"/>
              <w:numPr>
                <w:ilvl w:val="0"/>
                <w:numId w:val="8"/>
              </w:numPr>
              <w:rPr>
                <w:rFonts w:ascii="Arial" w:hAnsi="Arial" w:cs="Arial"/>
                <w:sz w:val="22"/>
                <w:szCs w:val="22"/>
              </w:rPr>
            </w:pPr>
            <w:r w:rsidRPr="009E6387">
              <w:rPr>
                <w:rFonts w:ascii="Arial" w:hAnsi="Arial" w:cs="Arial"/>
                <w:sz w:val="22"/>
                <w:szCs w:val="22"/>
              </w:rPr>
              <w:t>The benefits of scenario planning for both mitigation and adaptation to strengthen resilience (Hauer et al., 2020).</w:t>
            </w:r>
          </w:p>
          <w:p w14:paraId="175F4CBF" w14:textId="066E1B6E" w:rsidR="009E6387" w:rsidRPr="009E6387" w:rsidRDefault="0046562A" w:rsidP="0046562A">
            <w:pPr>
              <w:pStyle w:val="NormalWeb"/>
              <w:rPr>
                <w:rFonts w:ascii="Arial" w:hAnsi="Arial" w:cs="Arial"/>
                <w:sz w:val="22"/>
                <w:szCs w:val="22"/>
              </w:rPr>
            </w:pPr>
            <w:r w:rsidRPr="009E6387">
              <w:rPr>
                <w:rFonts w:ascii="Arial" w:hAnsi="Arial" w:cs="Arial"/>
                <w:sz w:val="22"/>
                <w:szCs w:val="22"/>
              </w:rPr>
              <w:t>The panel contributes to advancing knowledge by reframing transition risks to include adaptation as a fundamental consideration, closing a major gap in climate adaptation planning.</w:t>
            </w:r>
            <w:r w:rsidR="009E6387">
              <w:rPr>
                <w:rFonts w:ascii="Arial" w:hAnsi="Arial" w:cs="Arial"/>
                <w:sz w:val="22"/>
                <w:szCs w:val="22"/>
              </w:rPr>
              <w:br/>
            </w:r>
          </w:p>
        </w:tc>
      </w:tr>
      <w:tr w:rsidR="004828A0" w:rsidRPr="009E6387" w14:paraId="76E17AFD" w14:textId="77777777" w:rsidTr="2A282A6B">
        <w:trPr>
          <w:trHeight w:val="576"/>
        </w:trPr>
        <w:tc>
          <w:tcPr>
            <w:tcW w:w="8640" w:type="dxa"/>
          </w:tcPr>
          <w:p w14:paraId="77EDFBC8" w14:textId="20D46F1F" w:rsidR="004828A0" w:rsidRPr="009E6387" w:rsidRDefault="00670B0C" w:rsidP="004828A0">
            <w:pPr>
              <w:jc w:val="both"/>
              <w:rPr>
                <w:rFonts w:ascii="Arial" w:hAnsi="Arial" w:cs="Arial"/>
                <w:b/>
                <w:sz w:val="22"/>
                <w:szCs w:val="22"/>
              </w:rPr>
            </w:pPr>
            <w:r w:rsidRPr="009E6387">
              <w:rPr>
                <w:rFonts w:ascii="Arial" w:hAnsi="Arial" w:cs="Arial"/>
                <w:b/>
                <w:sz w:val="22"/>
                <w:szCs w:val="22"/>
              </w:rPr>
              <w:lastRenderedPageBreak/>
              <w:t>INDIVIDUAL PANELLIST CONTRIBUTION</w:t>
            </w:r>
          </w:p>
          <w:p w14:paraId="0DC49183" w14:textId="77777777" w:rsidR="006D4A81" w:rsidRPr="009E6387" w:rsidRDefault="006D4A81" w:rsidP="004828A0">
            <w:pPr>
              <w:jc w:val="both"/>
              <w:rPr>
                <w:rFonts w:ascii="Arial" w:hAnsi="Arial" w:cs="Arial"/>
                <w:b/>
                <w:sz w:val="22"/>
                <w:szCs w:val="22"/>
                <w:u w:val="single"/>
              </w:rPr>
            </w:pPr>
          </w:p>
          <w:p w14:paraId="3CE814F8" w14:textId="60C557C2" w:rsidR="00E9389C" w:rsidRPr="009E6387" w:rsidRDefault="00E9389C" w:rsidP="004828A0">
            <w:pPr>
              <w:jc w:val="both"/>
              <w:rPr>
                <w:rFonts w:ascii="Arial" w:hAnsi="Arial" w:cs="Arial"/>
                <w:b/>
                <w:sz w:val="22"/>
                <w:szCs w:val="22"/>
                <w:u w:val="single"/>
              </w:rPr>
            </w:pPr>
            <w:r w:rsidRPr="009E6387">
              <w:rPr>
                <w:rFonts w:ascii="Arial" w:hAnsi="Arial" w:cs="Arial"/>
                <w:b/>
                <w:sz w:val="22"/>
                <w:szCs w:val="22"/>
                <w:u w:val="single"/>
              </w:rPr>
              <w:t>Moderator Details</w:t>
            </w:r>
          </w:p>
          <w:p w14:paraId="638FD688" w14:textId="732113F4" w:rsidR="00E9389C" w:rsidRPr="009E6387" w:rsidRDefault="2A282A6B" w:rsidP="2A282A6B">
            <w:pPr>
              <w:jc w:val="both"/>
              <w:rPr>
                <w:rFonts w:ascii="Arial" w:hAnsi="Arial" w:cs="Arial"/>
                <w:sz w:val="22"/>
                <w:szCs w:val="22"/>
              </w:rPr>
            </w:pPr>
            <w:r w:rsidRPr="009E6387">
              <w:rPr>
                <w:rFonts w:ascii="Arial" w:hAnsi="Arial" w:cs="Arial"/>
                <w:b/>
                <w:bCs/>
                <w:sz w:val="22"/>
                <w:szCs w:val="22"/>
              </w:rPr>
              <w:t xml:space="preserve">Full Name: </w:t>
            </w:r>
            <w:r w:rsidRPr="009E6387">
              <w:rPr>
                <w:rFonts w:ascii="Arial" w:hAnsi="Arial" w:cs="Arial"/>
                <w:sz w:val="22"/>
                <w:szCs w:val="22"/>
              </w:rPr>
              <w:t>Johanna Nalau</w:t>
            </w:r>
          </w:p>
          <w:p w14:paraId="5921086D" w14:textId="2CA17B6D" w:rsidR="00E9389C" w:rsidRPr="009E6387" w:rsidRDefault="2A282A6B" w:rsidP="2A282A6B">
            <w:pPr>
              <w:jc w:val="both"/>
              <w:rPr>
                <w:rFonts w:ascii="Arial" w:hAnsi="Arial" w:cs="Arial"/>
                <w:b/>
                <w:bCs/>
                <w:sz w:val="22"/>
                <w:szCs w:val="22"/>
              </w:rPr>
            </w:pPr>
            <w:r w:rsidRPr="009E6387">
              <w:rPr>
                <w:rFonts w:ascii="Arial" w:hAnsi="Arial" w:cs="Arial"/>
                <w:b/>
                <w:bCs/>
                <w:sz w:val="22"/>
                <w:szCs w:val="22"/>
              </w:rPr>
              <w:t xml:space="preserve">Organisation: </w:t>
            </w:r>
            <w:r w:rsidRPr="009E6387">
              <w:rPr>
                <w:rFonts w:ascii="Arial" w:hAnsi="Arial" w:cs="Arial"/>
                <w:sz w:val="22"/>
                <w:szCs w:val="22"/>
              </w:rPr>
              <w:t>Griffith University</w:t>
            </w:r>
          </w:p>
          <w:p w14:paraId="3A08417C" w14:textId="6D3002AD" w:rsidR="00E9389C" w:rsidRPr="009E6387" w:rsidRDefault="2A282A6B" w:rsidP="2A282A6B">
            <w:pPr>
              <w:jc w:val="both"/>
              <w:rPr>
                <w:rFonts w:ascii="Arial" w:hAnsi="Arial" w:cs="Arial"/>
                <w:b/>
                <w:bCs/>
                <w:sz w:val="22"/>
                <w:szCs w:val="22"/>
              </w:rPr>
            </w:pPr>
            <w:r w:rsidRPr="009E6387">
              <w:rPr>
                <w:rFonts w:ascii="Arial" w:hAnsi="Arial" w:cs="Arial"/>
                <w:b/>
                <w:bCs/>
                <w:sz w:val="22"/>
                <w:szCs w:val="22"/>
              </w:rPr>
              <w:t xml:space="preserve">Bio sketch: </w:t>
            </w:r>
            <w:r w:rsidRPr="009E6387">
              <w:rPr>
                <w:rFonts w:ascii="Arial" w:hAnsi="Arial" w:cs="Arial"/>
                <w:sz w:val="22"/>
                <w:szCs w:val="22"/>
              </w:rPr>
              <w:t>Prof. Johanna Nalau is an adaptation scientist specializing in climate change adaptation and decision-making. A Lead Author for the IPCC 6th Assessment Report, she leads the Adaptation Science Research Theme at Griffith University. Her work bridges science and policy, focusing on evidence-based adaptation strategies, leadership, and practical climate resilience solutions.</w:t>
            </w:r>
          </w:p>
          <w:p w14:paraId="3BDA9AC3" w14:textId="77777777" w:rsidR="005B4DE0" w:rsidRPr="009E6387" w:rsidRDefault="005B4DE0" w:rsidP="005B4DE0">
            <w:pPr>
              <w:spacing w:before="100" w:beforeAutospacing="1" w:after="100" w:afterAutospacing="1"/>
              <w:outlineLvl w:val="3"/>
              <w:rPr>
                <w:rFonts w:ascii="Arial" w:hAnsi="Arial" w:cs="Arial"/>
                <w:b/>
                <w:bCs/>
                <w:sz w:val="22"/>
                <w:szCs w:val="22"/>
                <w:lang w:val="en-AU" w:eastAsia="en-AU"/>
              </w:rPr>
            </w:pPr>
            <w:r w:rsidRPr="009E6387">
              <w:rPr>
                <w:rFonts w:ascii="Arial" w:hAnsi="Arial" w:cs="Arial"/>
                <w:b/>
                <w:bCs/>
                <w:sz w:val="22"/>
                <w:szCs w:val="22"/>
                <w:lang w:val="en-AU" w:eastAsia="en-AU"/>
              </w:rPr>
              <w:t>Panellist 1</w:t>
            </w:r>
          </w:p>
          <w:p w14:paraId="148E46AF" w14:textId="4925290C" w:rsidR="1F75A348" w:rsidRPr="009E6387" w:rsidRDefault="1F75A348" w:rsidP="00F971C9">
            <w:pPr>
              <w:spacing w:before="100" w:beforeAutospacing="1" w:after="100" w:afterAutospacing="1"/>
              <w:rPr>
                <w:rFonts w:ascii="Arial" w:eastAsia="Calibri" w:hAnsi="Arial" w:cs="Arial"/>
                <w:sz w:val="22"/>
                <w:szCs w:val="22"/>
                <w:lang w:val="en-AU"/>
              </w:rPr>
            </w:pPr>
            <w:r w:rsidRPr="009E6387">
              <w:rPr>
                <w:rFonts w:ascii="Arial" w:hAnsi="Arial" w:cs="Arial"/>
                <w:b/>
                <w:bCs/>
                <w:sz w:val="22"/>
                <w:szCs w:val="22"/>
                <w:lang w:val="en-AU" w:eastAsia="en-AU"/>
              </w:rPr>
              <w:t>Full Name:</w:t>
            </w:r>
            <w:r w:rsidRPr="009E6387">
              <w:rPr>
                <w:rFonts w:ascii="Arial" w:hAnsi="Arial" w:cs="Arial"/>
                <w:sz w:val="22"/>
                <w:szCs w:val="22"/>
                <w:lang w:val="en-AU" w:eastAsia="en-AU"/>
              </w:rPr>
              <w:t xml:space="preserve"> James Hughes</w:t>
            </w:r>
            <w:r w:rsidR="005B4DE0" w:rsidRPr="009E6387">
              <w:rPr>
                <w:rFonts w:ascii="Arial" w:hAnsi="Arial" w:cs="Arial"/>
                <w:sz w:val="22"/>
                <w:szCs w:val="22"/>
              </w:rPr>
              <w:br/>
            </w:r>
            <w:r w:rsidRPr="009E6387">
              <w:rPr>
                <w:rFonts w:ascii="Arial" w:hAnsi="Arial" w:cs="Arial"/>
                <w:b/>
                <w:bCs/>
                <w:sz w:val="22"/>
                <w:szCs w:val="22"/>
                <w:lang w:val="en-AU" w:eastAsia="en-AU"/>
              </w:rPr>
              <w:t>Organisation:</w:t>
            </w:r>
            <w:r w:rsidRPr="009E6387">
              <w:rPr>
                <w:rFonts w:ascii="Arial" w:hAnsi="Arial" w:cs="Arial"/>
                <w:sz w:val="22"/>
                <w:szCs w:val="22"/>
                <w:lang w:val="en-AU" w:eastAsia="en-AU"/>
              </w:rPr>
              <w:t xml:space="preserve"> </w:t>
            </w:r>
            <w:proofErr w:type="spellStart"/>
            <w:r w:rsidRPr="009E6387">
              <w:rPr>
                <w:rFonts w:ascii="Arial" w:hAnsi="Arial" w:cs="Arial"/>
                <w:sz w:val="22"/>
                <w:szCs w:val="22"/>
                <w:lang w:val="en-AU" w:eastAsia="en-AU"/>
              </w:rPr>
              <w:t>Tonkin+Taylor</w:t>
            </w:r>
            <w:proofErr w:type="spellEnd"/>
            <w:r w:rsidR="005B4DE0" w:rsidRPr="009E6387">
              <w:rPr>
                <w:rFonts w:ascii="Arial" w:hAnsi="Arial" w:cs="Arial"/>
                <w:sz w:val="22"/>
                <w:szCs w:val="22"/>
              </w:rPr>
              <w:br/>
            </w:r>
            <w:r w:rsidRPr="009E6387">
              <w:rPr>
                <w:rFonts w:ascii="Arial" w:hAnsi="Arial" w:cs="Arial"/>
                <w:b/>
                <w:bCs/>
                <w:sz w:val="22"/>
                <w:szCs w:val="22"/>
                <w:lang w:val="en-AU" w:eastAsia="en-AU"/>
              </w:rPr>
              <w:t>Bio:</w:t>
            </w:r>
            <w:r w:rsidRPr="009E6387">
              <w:rPr>
                <w:rFonts w:ascii="Arial" w:hAnsi="Arial" w:cs="Arial"/>
                <w:sz w:val="22"/>
                <w:szCs w:val="22"/>
                <w:lang w:val="en-AU" w:eastAsia="en-AU"/>
              </w:rPr>
              <w:t xml:space="preserve"> J</w:t>
            </w:r>
            <w:proofErr w:type="spellStart"/>
            <w:r w:rsidRPr="009E6387">
              <w:rPr>
                <w:rFonts w:ascii="Arial" w:eastAsia="Arial" w:hAnsi="Arial" w:cs="Arial"/>
                <w:sz w:val="22"/>
                <w:szCs w:val="22"/>
                <w:lang w:val="en-CA"/>
              </w:rPr>
              <w:t>ames</w:t>
            </w:r>
            <w:proofErr w:type="spellEnd"/>
            <w:r w:rsidRPr="009E6387">
              <w:rPr>
                <w:rFonts w:ascii="Arial" w:eastAsia="Arial" w:hAnsi="Arial" w:cs="Arial"/>
                <w:sz w:val="22"/>
                <w:szCs w:val="22"/>
                <w:lang w:val="en-CA"/>
              </w:rPr>
              <w:t xml:space="preserve"> has a 20-year career in the infrastructure and environmental sectors. He has been involved in a wide range of important projects over recent years, including the first National Climate Risk Assessment, </w:t>
            </w:r>
            <w:proofErr w:type="spellStart"/>
            <w:r w:rsidRPr="009E6387">
              <w:rPr>
                <w:rFonts w:ascii="Arial" w:eastAsia="Arial" w:hAnsi="Arial" w:cs="Arial"/>
                <w:sz w:val="22"/>
                <w:szCs w:val="22"/>
                <w:lang w:val="en-CA"/>
              </w:rPr>
              <w:t>MfE’s</w:t>
            </w:r>
            <w:proofErr w:type="spellEnd"/>
            <w:r w:rsidRPr="009E6387">
              <w:rPr>
                <w:rFonts w:ascii="Arial" w:eastAsia="Arial" w:hAnsi="Arial" w:cs="Arial"/>
                <w:sz w:val="22"/>
                <w:szCs w:val="22"/>
                <w:lang w:val="en-CA"/>
              </w:rPr>
              <w:t xml:space="preserve"> Climate Adaptation Technical Working Group, the development of the Health Sector Climate Scenarios, and a variety of climate risk and adaptation projects across NZ. </w:t>
            </w:r>
          </w:p>
          <w:p w14:paraId="7EA46D92" w14:textId="31A497F0" w:rsidR="005B4DE0" w:rsidRPr="009E6387" w:rsidRDefault="005B4DE0" w:rsidP="005B4DE0">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Presentation 1:</w:t>
            </w:r>
            <w:r w:rsidRPr="009E6387">
              <w:rPr>
                <w:rFonts w:ascii="Arial" w:hAnsi="Arial" w:cs="Arial"/>
                <w:sz w:val="22"/>
                <w:szCs w:val="22"/>
                <w:lang w:val="en-AU" w:eastAsia="en-AU"/>
              </w:rPr>
              <w:br/>
              <w:t>Integrating Climate-Related Risks into Local Government Financial and Asset Management</w:t>
            </w:r>
          </w:p>
          <w:p w14:paraId="050C80FD" w14:textId="77777777" w:rsidR="005B4DE0" w:rsidRPr="009E6387" w:rsidRDefault="005B4DE0" w:rsidP="005B4DE0">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Panellist 1 Contribution:</w:t>
            </w:r>
          </w:p>
          <w:p w14:paraId="4BBD22A1" w14:textId="77777777" w:rsidR="005B4DE0" w:rsidRPr="009E6387" w:rsidRDefault="005B4DE0" w:rsidP="005B4DE0">
            <w:pPr>
              <w:numPr>
                <w:ilvl w:val="0"/>
                <w:numId w:val="5"/>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Introduction:</w:t>
            </w:r>
            <w:r w:rsidRPr="009E6387">
              <w:rPr>
                <w:rFonts w:ascii="Arial" w:hAnsi="Arial" w:cs="Arial"/>
                <w:sz w:val="22"/>
                <w:szCs w:val="22"/>
                <w:lang w:val="en-AU" w:eastAsia="en-AU"/>
              </w:rPr>
              <w:t xml:space="preserve"> Climate risks disrupt asset management and financial planning in local governments. This presentation examines the integration of climate risk assessment into these domains.</w:t>
            </w:r>
          </w:p>
          <w:p w14:paraId="31E66796" w14:textId="77777777" w:rsidR="005B4DE0" w:rsidRPr="009E6387" w:rsidRDefault="005B4DE0" w:rsidP="005B4DE0">
            <w:pPr>
              <w:numPr>
                <w:ilvl w:val="0"/>
                <w:numId w:val="5"/>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Objectives:</w:t>
            </w:r>
            <w:r w:rsidRPr="009E6387">
              <w:rPr>
                <w:rFonts w:ascii="Arial" w:hAnsi="Arial" w:cs="Arial"/>
                <w:sz w:val="22"/>
                <w:szCs w:val="22"/>
                <w:lang w:val="en-AU" w:eastAsia="en-AU"/>
              </w:rPr>
              <w:t xml:space="preserve"> To identify financial and operational vulnerabilities and propose strategies for embedding climate risk assessment in governance.</w:t>
            </w:r>
          </w:p>
          <w:p w14:paraId="6F20AAF3" w14:textId="77777777" w:rsidR="005B4DE0" w:rsidRPr="009E6387" w:rsidRDefault="005B4DE0" w:rsidP="005B4DE0">
            <w:pPr>
              <w:numPr>
                <w:ilvl w:val="0"/>
                <w:numId w:val="5"/>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Methodology:</w:t>
            </w:r>
            <w:r w:rsidRPr="009E6387">
              <w:rPr>
                <w:rFonts w:ascii="Arial" w:hAnsi="Arial" w:cs="Arial"/>
                <w:sz w:val="22"/>
                <w:szCs w:val="22"/>
                <w:lang w:val="en-AU" w:eastAsia="en-AU"/>
              </w:rPr>
              <w:t xml:space="preserve"> Review of case studies where local governments have integrated climate risk into financial frameworks.</w:t>
            </w:r>
          </w:p>
          <w:p w14:paraId="534B14BA" w14:textId="77777777" w:rsidR="005B4DE0" w:rsidRPr="009E6387" w:rsidRDefault="005B4DE0" w:rsidP="005B4DE0">
            <w:pPr>
              <w:numPr>
                <w:ilvl w:val="0"/>
                <w:numId w:val="5"/>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Findings:</w:t>
            </w:r>
            <w:r w:rsidRPr="009E6387">
              <w:rPr>
                <w:rFonts w:ascii="Arial" w:hAnsi="Arial" w:cs="Arial"/>
                <w:sz w:val="22"/>
                <w:szCs w:val="22"/>
                <w:lang w:val="en-AU" w:eastAsia="en-AU"/>
              </w:rPr>
              <w:t xml:space="preserve"> Effective governance models highlight the need for climate risk-informed budgeting and asset valuation.</w:t>
            </w:r>
          </w:p>
          <w:p w14:paraId="454AE8D9" w14:textId="77777777" w:rsidR="005B4DE0" w:rsidRPr="009E6387" w:rsidRDefault="005B4DE0" w:rsidP="005B4DE0">
            <w:pPr>
              <w:spacing w:before="100" w:beforeAutospacing="1" w:after="100" w:afterAutospacing="1"/>
              <w:outlineLvl w:val="3"/>
              <w:rPr>
                <w:rFonts w:ascii="Arial" w:hAnsi="Arial" w:cs="Arial"/>
                <w:b/>
                <w:bCs/>
                <w:sz w:val="22"/>
                <w:szCs w:val="22"/>
                <w:lang w:val="en-AU" w:eastAsia="en-AU"/>
              </w:rPr>
            </w:pPr>
            <w:r w:rsidRPr="009E6387">
              <w:rPr>
                <w:rFonts w:ascii="Arial" w:hAnsi="Arial" w:cs="Arial"/>
                <w:b/>
                <w:bCs/>
                <w:sz w:val="22"/>
                <w:szCs w:val="22"/>
                <w:lang w:val="en-AU" w:eastAsia="en-AU"/>
              </w:rPr>
              <w:t>Panellist 2</w:t>
            </w:r>
          </w:p>
          <w:p w14:paraId="52270DCA" w14:textId="596F437E" w:rsidR="005B4DE0" w:rsidRPr="009E6387" w:rsidRDefault="1F75A348" w:rsidP="1F75A348">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Full Name:</w:t>
            </w:r>
            <w:r w:rsidRPr="009E6387">
              <w:rPr>
                <w:rFonts w:ascii="Arial" w:hAnsi="Arial" w:cs="Arial"/>
                <w:sz w:val="22"/>
                <w:szCs w:val="22"/>
                <w:lang w:val="en-AU" w:eastAsia="en-AU"/>
              </w:rPr>
              <w:t xml:space="preserve"> Donovan Burton</w:t>
            </w:r>
            <w:r w:rsidR="005B4DE0" w:rsidRPr="009E6387">
              <w:rPr>
                <w:rFonts w:ascii="Arial" w:hAnsi="Arial" w:cs="Arial"/>
                <w:sz w:val="22"/>
                <w:szCs w:val="22"/>
              </w:rPr>
              <w:br/>
            </w:r>
            <w:r w:rsidRPr="009E6387">
              <w:rPr>
                <w:rFonts w:ascii="Arial" w:hAnsi="Arial" w:cs="Arial"/>
                <w:b/>
                <w:bCs/>
                <w:sz w:val="22"/>
                <w:szCs w:val="22"/>
                <w:lang w:val="en-AU" w:eastAsia="en-AU"/>
              </w:rPr>
              <w:t>Organisation:</w:t>
            </w:r>
            <w:r w:rsidRPr="009E6387">
              <w:rPr>
                <w:rFonts w:ascii="Arial" w:hAnsi="Arial" w:cs="Arial"/>
                <w:sz w:val="22"/>
                <w:szCs w:val="22"/>
                <w:lang w:val="en-AU" w:eastAsia="en-AU"/>
              </w:rPr>
              <w:t xml:space="preserve"> </w:t>
            </w:r>
            <w:proofErr w:type="spellStart"/>
            <w:r w:rsidRPr="009E6387">
              <w:rPr>
                <w:rFonts w:ascii="Arial" w:hAnsi="Arial" w:cs="Arial"/>
                <w:sz w:val="22"/>
                <w:szCs w:val="22"/>
                <w:lang w:val="en-AU" w:eastAsia="en-AU"/>
              </w:rPr>
              <w:t>Informed.City</w:t>
            </w:r>
            <w:proofErr w:type="spellEnd"/>
            <w:r w:rsidR="005B4DE0" w:rsidRPr="009E6387">
              <w:rPr>
                <w:rFonts w:ascii="Arial" w:hAnsi="Arial" w:cs="Arial"/>
                <w:sz w:val="22"/>
                <w:szCs w:val="22"/>
              </w:rPr>
              <w:br/>
            </w:r>
            <w:r w:rsidRPr="009E6387">
              <w:rPr>
                <w:rFonts w:ascii="Arial" w:hAnsi="Arial" w:cs="Arial"/>
                <w:b/>
                <w:bCs/>
                <w:sz w:val="22"/>
                <w:szCs w:val="22"/>
                <w:lang w:val="en-AU" w:eastAsia="en-AU"/>
              </w:rPr>
              <w:t>Bio:</w:t>
            </w:r>
            <w:r w:rsidRPr="009E6387">
              <w:rPr>
                <w:rFonts w:ascii="Arial" w:hAnsi="Arial" w:cs="Arial"/>
                <w:sz w:val="22"/>
                <w:szCs w:val="22"/>
                <w:lang w:val="en-AU" w:eastAsia="en-AU"/>
              </w:rPr>
              <w:t xml:space="preserve"> </w:t>
            </w:r>
            <w:r w:rsidRPr="009E6387">
              <w:rPr>
                <w:rFonts w:ascii="Arial" w:eastAsia="Calibri" w:hAnsi="Arial" w:cs="Arial"/>
                <w:sz w:val="22"/>
                <w:szCs w:val="22"/>
                <w:lang w:val="en-GB"/>
              </w:rPr>
              <w:t xml:space="preserve">Donovan is a highly experienced climate change practitioner, with a diverse portfolio of experience. Donovan specialises in integrating climate change needs into strategic planning and policy advice. Over the past 20 years he has worked on hundreds of climate change projects. </w:t>
            </w:r>
          </w:p>
          <w:p w14:paraId="05E7238E" w14:textId="1C7D2D11" w:rsidR="005B4DE0" w:rsidRPr="009E6387" w:rsidRDefault="1F75A348" w:rsidP="1F75A348">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Presentation 2:</w:t>
            </w:r>
            <w:r w:rsidR="005B4DE0" w:rsidRPr="009E6387">
              <w:rPr>
                <w:rFonts w:ascii="Arial" w:hAnsi="Arial" w:cs="Arial"/>
                <w:sz w:val="22"/>
                <w:szCs w:val="22"/>
              </w:rPr>
              <w:br/>
            </w:r>
            <w:r w:rsidRPr="009E6387">
              <w:rPr>
                <w:rFonts w:ascii="Arial" w:hAnsi="Arial" w:cs="Arial"/>
                <w:sz w:val="22"/>
                <w:szCs w:val="22"/>
                <w:lang w:val="en-AU" w:eastAsia="en-AU"/>
              </w:rPr>
              <w:t>Transition Risks in Local Governance: Why Adaptation is the Missing Link</w:t>
            </w:r>
          </w:p>
          <w:p w14:paraId="0F4BC492" w14:textId="77777777" w:rsidR="005B4DE0" w:rsidRPr="009E6387" w:rsidRDefault="005B4DE0" w:rsidP="005B4DE0">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lastRenderedPageBreak/>
              <w:t>Panellist 2 Contribution:</w:t>
            </w:r>
          </w:p>
          <w:p w14:paraId="68C0E18A" w14:textId="77777777" w:rsidR="005B4DE0" w:rsidRPr="009E6387" w:rsidRDefault="005B4DE0" w:rsidP="005B4DE0">
            <w:pPr>
              <w:numPr>
                <w:ilvl w:val="0"/>
                <w:numId w:val="6"/>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Introduction:</w:t>
            </w:r>
            <w:r w:rsidRPr="009E6387">
              <w:rPr>
                <w:rFonts w:ascii="Arial" w:hAnsi="Arial" w:cs="Arial"/>
                <w:sz w:val="22"/>
                <w:szCs w:val="22"/>
                <w:lang w:val="en-AU" w:eastAsia="en-AU"/>
              </w:rPr>
              <w:t xml:space="preserve"> Transition risks have been primarily framed around mitigation efforts, overlooking adaptation’s systemic challenges.</w:t>
            </w:r>
          </w:p>
          <w:p w14:paraId="4A99566E" w14:textId="77777777" w:rsidR="005B4DE0" w:rsidRPr="009E6387" w:rsidRDefault="005B4DE0" w:rsidP="005B4DE0">
            <w:pPr>
              <w:numPr>
                <w:ilvl w:val="0"/>
                <w:numId w:val="6"/>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Objectives:</w:t>
            </w:r>
            <w:r w:rsidRPr="009E6387">
              <w:rPr>
                <w:rFonts w:ascii="Arial" w:hAnsi="Arial" w:cs="Arial"/>
                <w:sz w:val="22"/>
                <w:szCs w:val="22"/>
                <w:lang w:val="en-AU" w:eastAsia="en-AU"/>
              </w:rPr>
              <w:t xml:space="preserve"> To highlight adaptation as a transition risk and present frameworks for including adaptation in risk planning.</w:t>
            </w:r>
          </w:p>
          <w:p w14:paraId="779597FE" w14:textId="77777777" w:rsidR="005B4DE0" w:rsidRPr="009E6387" w:rsidRDefault="005B4DE0" w:rsidP="005B4DE0">
            <w:pPr>
              <w:numPr>
                <w:ilvl w:val="0"/>
                <w:numId w:val="6"/>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Methodology:</w:t>
            </w:r>
            <w:r w:rsidRPr="009E6387">
              <w:rPr>
                <w:rFonts w:ascii="Arial" w:hAnsi="Arial" w:cs="Arial"/>
                <w:sz w:val="22"/>
                <w:szCs w:val="22"/>
                <w:lang w:val="en-AU" w:eastAsia="en-AU"/>
              </w:rPr>
              <w:t xml:space="preserve"> Comparative analysis of cities that have or have not accounted for adaptation risks in their transition planning.</w:t>
            </w:r>
          </w:p>
          <w:p w14:paraId="40F4E9E7" w14:textId="77777777" w:rsidR="005B4DE0" w:rsidRPr="009E6387" w:rsidRDefault="005B4DE0" w:rsidP="005B4DE0">
            <w:pPr>
              <w:numPr>
                <w:ilvl w:val="0"/>
                <w:numId w:val="6"/>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Findings:</w:t>
            </w:r>
            <w:r w:rsidRPr="009E6387">
              <w:rPr>
                <w:rFonts w:ascii="Arial" w:hAnsi="Arial" w:cs="Arial"/>
                <w:sz w:val="22"/>
                <w:szCs w:val="22"/>
                <w:lang w:val="en-AU" w:eastAsia="en-AU"/>
              </w:rPr>
              <w:t xml:space="preserve"> Neglecting adaptation leads to cascading financial and social disruptions, whereas proactive planning results in economic and community resilience.</w:t>
            </w:r>
          </w:p>
          <w:p w14:paraId="2E3F91B4" w14:textId="77777777" w:rsidR="005B4DE0" w:rsidRPr="009E6387" w:rsidRDefault="005B4DE0" w:rsidP="005B4DE0">
            <w:pPr>
              <w:spacing w:before="100" w:beforeAutospacing="1" w:after="100" w:afterAutospacing="1"/>
              <w:outlineLvl w:val="3"/>
              <w:rPr>
                <w:rFonts w:ascii="Arial" w:hAnsi="Arial" w:cs="Arial"/>
                <w:b/>
                <w:bCs/>
                <w:sz w:val="22"/>
                <w:szCs w:val="22"/>
                <w:lang w:val="en-AU" w:eastAsia="en-AU"/>
              </w:rPr>
            </w:pPr>
            <w:r w:rsidRPr="009E6387">
              <w:rPr>
                <w:rFonts w:ascii="Arial" w:hAnsi="Arial" w:cs="Arial"/>
                <w:b/>
                <w:bCs/>
                <w:sz w:val="22"/>
                <w:szCs w:val="22"/>
                <w:lang w:val="en-AU" w:eastAsia="en-AU"/>
              </w:rPr>
              <w:t>Panellist 3</w:t>
            </w:r>
          </w:p>
          <w:p w14:paraId="57C56481" w14:textId="0477311B" w:rsidR="005B4DE0" w:rsidRPr="009E6387" w:rsidRDefault="005B4DE0" w:rsidP="005B4DE0">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Full Name:</w:t>
            </w:r>
            <w:r w:rsidRPr="009E6387">
              <w:rPr>
                <w:rFonts w:ascii="Arial" w:hAnsi="Arial" w:cs="Arial"/>
                <w:sz w:val="22"/>
                <w:szCs w:val="22"/>
                <w:lang w:val="en-AU" w:eastAsia="en-AU"/>
              </w:rPr>
              <w:t xml:space="preserve"> </w:t>
            </w:r>
            <w:r w:rsidR="0097139F" w:rsidRPr="009E6387">
              <w:rPr>
                <w:rFonts w:ascii="Arial" w:hAnsi="Arial" w:cs="Arial"/>
                <w:sz w:val="22"/>
                <w:szCs w:val="22"/>
                <w:lang w:val="en-AU" w:eastAsia="en-AU"/>
              </w:rPr>
              <w:t>Estefania Arteaga</w:t>
            </w:r>
            <w:r w:rsidRPr="009E6387">
              <w:rPr>
                <w:rFonts w:ascii="Arial" w:hAnsi="Arial" w:cs="Arial"/>
                <w:sz w:val="22"/>
                <w:szCs w:val="22"/>
                <w:lang w:val="en-AU" w:eastAsia="en-AU"/>
              </w:rPr>
              <w:br/>
            </w:r>
            <w:r w:rsidRPr="009E6387">
              <w:rPr>
                <w:rFonts w:ascii="Arial" w:hAnsi="Arial" w:cs="Arial"/>
                <w:b/>
                <w:bCs/>
                <w:sz w:val="22"/>
                <w:szCs w:val="22"/>
                <w:lang w:val="en-AU" w:eastAsia="en-AU"/>
              </w:rPr>
              <w:t>Organisation:</w:t>
            </w:r>
            <w:r w:rsidRPr="009E6387">
              <w:rPr>
                <w:rFonts w:ascii="Arial" w:hAnsi="Arial" w:cs="Arial"/>
                <w:sz w:val="22"/>
                <w:szCs w:val="22"/>
                <w:lang w:val="en-AU" w:eastAsia="en-AU"/>
              </w:rPr>
              <w:t xml:space="preserve"> </w:t>
            </w:r>
            <w:r w:rsidR="0097139F" w:rsidRPr="009E6387">
              <w:rPr>
                <w:rFonts w:ascii="Arial" w:hAnsi="Arial" w:cs="Arial"/>
                <w:sz w:val="22"/>
                <w:szCs w:val="22"/>
                <w:lang w:val="en-AU" w:eastAsia="en-AU"/>
              </w:rPr>
              <w:t>World Adaptation Science Programme</w:t>
            </w:r>
            <w:r w:rsidRPr="009E6387">
              <w:rPr>
                <w:rFonts w:ascii="Arial" w:hAnsi="Arial" w:cs="Arial"/>
                <w:sz w:val="22"/>
                <w:szCs w:val="22"/>
                <w:lang w:val="en-AU" w:eastAsia="en-AU"/>
              </w:rPr>
              <w:br/>
            </w:r>
            <w:r w:rsidRPr="009E6387">
              <w:rPr>
                <w:rFonts w:ascii="Arial" w:hAnsi="Arial" w:cs="Arial"/>
                <w:b/>
                <w:bCs/>
                <w:sz w:val="22"/>
                <w:szCs w:val="22"/>
                <w:lang w:val="en-AU" w:eastAsia="en-AU"/>
              </w:rPr>
              <w:t>Bio:</w:t>
            </w:r>
            <w:r w:rsidRPr="009E6387">
              <w:rPr>
                <w:rFonts w:ascii="Arial" w:hAnsi="Arial" w:cs="Arial"/>
                <w:sz w:val="22"/>
                <w:szCs w:val="22"/>
                <w:lang w:val="en-AU" w:eastAsia="en-AU"/>
              </w:rPr>
              <w:t xml:space="preserve"> </w:t>
            </w:r>
            <w:r w:rsidR="00BA7822" w:rsidRPr="009E6387">
              <w:rPr>
                <w:rStyle w:val="Strong"/>
                <w:rFonts w:ascii="Arial" w:hAnsi="Arial" w:cs="Arial"/>
                <w:b w:val="0"/>
                <w:bCs w:val="0"/>
                <w:sz w:val="22"/>
                <w:szCs w:val="22"/>
              </w:rPr>
              <w:t>Estefania Arteaga</w:t>
            </w:r>
            <w:r w:rsidR="00BA7822" w:rsidRPr="009E6387">
              <w:rPr>
                <w:rFonts w:ascii="Arial" w:hAnsi="Arial" w:cs="Arial"/>
                <w:sz w:val="22"/>
                <w:szCs w:val="22"/>
              </w:rPr>
              <w:t xml:space="preserve"> is a climate resilience specialist with expertise in climate risk management and adaptation. She has worked across Latin America and Australia, bridging research and practice to develop effective adaptation strategies. Her experience spans local governments, global policy, vulnerability assessments, and risk management to enhance resilience at multiple scales.</w:t>
            </w:r>
          </w:p>
          <w:p w14:paraId="4AAD98F5" w14:textId="6BA38085" w:rsidR="005B4DE0" w:rsidRPr="009E6387" w:rsidRDefault="005B4DE0" w:rsidP="005B4DE0">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Presentation 3:</w:t>
            </w:r>
            <w:r w:rsidRPr="009E6387">
              <w:rPr>
                <w:rFonts w:ascii="Arial" w:hAnsi="Arial" w:cs="Arial"/>
                <w:sz w:val="22"/>
                <w:szCs w:val="22"/>
                <w:lang w:val="en-AU" w:eastAsia="en-AU"/>
              </w:rPr>
              <w:br/>
              <w:t>The Costs of Inaction: Why Local Governments Must Address Climate-Related Risks Now</w:t>
            </w:r>
          </w:p>
          <w:p w14:paraId="00D1BEA8" w14:textId="77777777" w:rsidR="005B4DE0" w:rsidRPr="009E6387" w:rsidRDefault="005B4DE0" w:rsidP="005B4DE0">
            <w:p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Panellist 3 Contribution:</w:t>
            </w:r>
          </w:p>
          <w:p w14:paraId="098BE9BC" w14:textId="77777777" w:rsidR="005B4DE0" w:rsidRPr="009E6387" w:rsidRDefault="005B4DE0" w:rsidP="005B4DE0">
            <w:pPr>
              <w:numPr>
                <w:ilvl w:val="0"/>
                <w:numId w:val="7"/>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Introduction:</w:t>
            </w:r>
            <w:r w:rsidRPr="009E6387">
              <w:rPr>
                <w:rFonts w:ascii="Arial" w:hAnsi="Arial" w:cs="Arial"/>
                <w:sz w:val="22"/>
                <w:szCs w:val="22"/>
                <w:lang w:val="en-AU" w:eastAsia="en-AU"/>
              </w:rPr>
              <w:t xml:space="preserve"> Failing to assess climate-related risks today will create significant long-term economic and service disruptions.</w:t>
            </w:r>
          </w:p>
          <w:p w14:paraId="57927556" w14:textId="77777777" w:rsidR="005B4DE0" w:rsidRPr="009E6387" w:rsidRDefault="005B4DE0" w:rsidP="005B4DE0">
            <w:pPr>
              <w:numPr>
                <w:ilvl w:val="0"/>
                <w:numId w:val="7"/>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Objectives:</w:t>
            </w:r>
            <w:r w:rsidRPr="009E6387">
              <w:rPr>
                <w:rFonts w:ascii="Arial" w:hAnsi="Arial" w:cs="Arial"/>
                <w:sz w:val="22"/>
                <w:szCs w:val="22"/>
                <w:lang w:val="en-AU" w:eastAsia="en-AU"/>
              </w:rPr>
              <w:t xml:space="preserve"> To assess the potential costs of inaction and explore the benefits of implementing early climate risk assessments.</w:t>
            </w:r>
          </w:p>
          <w:p w14:paraId="28AC57BF" w14:textId="2C8191BA" w:rsidR="005B4DE0" w:rsidRPr="009E6387" w:rsidRDefault="005B4DE0" w:rsidP="005B4DE0">
            <w:pPr>
              <w:numPr>
                <w:ilvl w:val="0"/>
                <w:numId w:val="7"/>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Methodology:</w:t>
            </w:r>
            <w:r w:rsidRPr="009E6387">
              <w:rPr>
                <w:rFonts w:ascii="Arial" w:hAnsi="Arial" w:cs="Arial"/>
                <w:sz w:val="22"/>
                <w:szCs w:val="22"/>
                <w:lang w:val="en-AU" w:eastAsia="en-AU"/>
              </w:rPr>
              <w:t xml:space="preserve"> Economic </w:t>
            </w:r>
            <w:r w:rsidR="00987A42" w:rsidRPr="009E6387">
              <w:rPr>
                <w:rFonts w:ascii="Arial" w:hAnsi="Arial" w:cs="Arial"/>
                <w:sz w:val="22"/>
                <w:szCs w:val="22"/>
                <w:lang w:val="en-AU" w:eastAsia="en-AU"/>
              </w:rPr>
              <w:t xml:space="preserve">loses </w:t>
            </w:r>
            <w:r w:rsidRPr="009E6387">
              <w:rPr>
                <w:rFonts w:ascii="Arial" w:hAnsi="Arial" w:cs="Arial"/>
                <w:sz w:val="22"/>
                <w:szCs w:val="22"/>
                <w:lang w:val="en-AU" w:eastAsia="en-AU"/>
              </w:rPr>
              <w:t>of local governments that have and have not implemented risk-informed planning.</w:t>
            </w:r>
          </w:p>
          <w:p w14:paraId="76AF00F7" w14:textId="77777777" w:rsidR="005B4DE0" w:rsidRPr="009E6387" w:rsidRDefault="005B4DE0" w:rsidP="005B4DE0">
            <w:pPr>
              <w:numPr>
                <w:ilvl w:val="0"/>
                <w:numId w:val="7"/>
              </w:numPr>
              <w:spacing w:before="100" w:beforeAutospacing="1" w:after="100" w:afterAutospacing="1"/>
              <w:rPr>
                <w:rFonts w:ascii="Arial" w:hAnsi="Arial" w:cs="Arial"/>
                <w:sz w:val="22"/>
                <w:szCs w:val="22"/>
                <w:lang w:val="en-AU" w:eastAsia="en-AU"/>
              </w:rPr>
            </w:pPr>
            <w:r w:rsidRPr="009E6387">
              <w:rPr>
                <w:rFonts w:ascii="Arial" w:hAnsi="Arial" w:cs="Arial"/>
                <w:b/>
                <w:bCs/>
                <w:sz w:val="22"/>
                <w:szCs w:val="22"/>
                <w:lang w:val="en-AU" w:eastAsia="en-AU"/>
              </w:rPr>
              <w:t>Findings:</w:t>
            </w:r>
            <w:r w:rsidRPr="009E6387">
              <w:rPr>
                <w:rFonts w:ascii="Arial" w:hAnsi="Arial" w:cs="Arial"/>
                <w:sz w:val="22"/>
                <w:szCs w:val="22"/>
                <w:lang w:val="en-AU" w:eastAsia="en-AU"/>
              </w:rPr>
              <w:t xml:space="preserve"> Early investment in climate risk assessments results in cost savings and enhanced public service resilience.</w:t>
            </w:r>
          </w:p>
          <w:p w14:paraId="611ED515" w14:textId="77777777" w:rsidR="004828A0" w:rsidRPr="009E6387" w:rsidRDefault="004828A0" w:rsidP="00BE0B4D">
            <w:pPr>
              <w:jc w:val="both"/>
              <w:rPr>
                <w:rFonts w:ascii="Arial" w:hAnsi="Arial" w:cs="Arial"/>
                <w:b/>
                <w:bCs/>
                <w:sz w:val="22"/>
                <w:szCs w:val="22"/>
              </w:rPr>
            </w:pPr>
          </w:p>
        </w:tc>
      </w:tr>
    </w:tbl>
    <w:p w14:paraId="15AC9FEF" w14:textId="15B67474" w:rsidR="009010B0" w:rsidRPr="009E6387" w:rsidRDefault="009010B0" w:rsidP="00247C60">
      <w:pPr>
        <w:rPr>
          <w:rFonts w:ascii="Arial" w:hAnsi="Arial" w:cs="Arial"/>
          <w:sz w:val="22"/>
          <w:szCs w:val="22"/>
        </w:rPr>
      </w:pPr>
    </w:p>
    <w:sectPr w:rsidR="009010B0" w:rsidRPr="009E6387"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C8E17C1"/>
    <w:multiLevelType w:val="multilevel"/>
    <w:tmpl w:val="E6B6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33C60"/>
    <w:multiLevelType w:val="multilevel"/>
    <w:tmpl w:val="F21C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1E139A"/>
    <w:multiLevelType w:val="multilevel"/>
    <w:tmpl w:val="4FEA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260CF9"/>
    <w:multiLevelType w:val="multilevel"/>
    <w:tmpl w:val="D2C2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7"/>
  </w:num>
  <w:num w:numId="3" w16cid:durableId="1208686634">
    <w:abstractNumId w:val="2"/>
  </w:num>
  <w:num w:numId="4" w16cid:durableId="1179194463">
    <w:abstractNumId w:val="1"/>
  </w:num>
  <w:num w:numId="5" w16cid:durableId="941573246">
    <w:abstractNumId w:val="5"/>
  </w:num>
  <w:num w:numId="6" w16cid:durableId="404957534">
    <w:abstractNumId w:val="3"/>
  </w:num>
  <w:num w:numId="7" w16cid:durableId="1951546426">
    <w:abstractNumId w:val="4"/>
  </w:num>
  <w:num w:numId="8" w16cid:durableId="483278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105E39"/>
    <w:rsid w:val="00113EFE"/>
    <w:rsid w:val="00155315"/>
    <w:rsid w:val="00195997"/>
    <w:rsid w:val="001F229E"/>
    <w:rsid w:val="002416BF"/>
    <w:rsid w:val="00247C60"/>
    <w:rsid w:val="00256963"/>
    <w:rsid w:val="00260844"/>
    <w:rsid w:val="002E3AA3"/>
    <w:rsid w:val="00317356"/>
    <w:rsid w:val="00341D66"/>
    <w:rsid w:val="0034503D"/>
    <w:rsid w:val="00354C31"/>
    <w:rsid w:val="00386D01"/>
    <w:rsid w:val="004049E7"/>
    <w:rsid w:val="00427DD9"/>
    <w:rsid w:val="00462B90"/>
    <w:rsid w:val="0046562A"/>
    <w:rsid w:val="004828A0"/>
    <w:rsid w:val="004B69C7"/>
    <w:rsid w:val="004F4CE8"/>
    <w:rsid w:val="004F5C81"/>
    <w:rsid w:val="005107EB"/>
    <w:rsid w:val="0053222C"/>
    <w:rsid w:val="005469BD"/>
    <w:rsid w:val="00550B17"/>
    <w:rsid w:val="0055199E"/>
    <w:rsid w:val="005847C8"/>
    <w:rsid w:val="005854B8"/>
    <w:rsid w:val="005B4DE0"/>
    <w:rsid w:val="00600C8C"/>
    <w:rsid w:val="0065012F"/>
    <w:rsid w:val="006567EF"/>
    <w:rsid w:val="00670B0C"/>
    <w:rsid w:val="0068043B"/>
    <w:rsid w:val="00681CA7"/>
    <w:rsid w:val="006D4A81"/>
    <w:rsid w:val="00715D4C"/>
    <w:rsid w:val="007A2D74"/>
    <w:rsid w:val="007C5213"/>
    <w:rsid w:val="008235E8"/>
    <w:rsid w:val="008773DF"/>
    <w:rsid w:val="008A7605"/>
    <w:rsid w:val="008B01BA"/>
    <w:rsid w:val="008B50A0"/>
    <w:rsid w:val="008C0C35"/>
    <w:rsid w:val="008C22AD"/>
    <w:rsid w:val="008C2633"/>
    <w:rsid w:val="008E3D8D"/>
    <w:rsid w:val="008F2F93"/>
    <w:rsid w:val="009010B0"/>
    <w:rsid w:val="00906B39"/>
    <w:rsid w:val="00963443"/>
    <w:rsid w:val="0097139F"/>
    <w:rsid w:val="00987A42"/>
    <w:rsid w:val="009C374A"/>
    <w:rsid w:val="009E41F9"/>
    <w:rsid w:val="009E6387"/>
    <w:rsid w:val="009F4EA0"/>
    <w:rsid w:val="00AB6BC3"/>
    <w:rsid w:val="00B026E8"/>
    <w:rsid w:val="00B76030"/>
    <w:rsid w:val="00B94D66"/>
    <w:rsid w:val="00BA0872"/>
    <w:rsid w:val="00BA26BB"/>
    <w:rsid w:val="00BA7822"/>
    <w:rsid w:val="00BC6810"/>
    <w:rsid w:val="00BE0B4D"/>
    <w:rsid w:val="00BE5A89"/>
    <w:rsid w:val="00BF3311"/>
    <w:rsid w:val="00C26081"/>
    <w:rsid w:val="00C4126D"/>
    <w:rsid w:val="00C76C99"/>
    <w:rsid w:val="00C8423A"/>
    <w:rsid w:val="00CE53FE"/>
    <w:rsid w:val="00D716AD"/>
    <w:rsid w:val="00DB7929"/>
    <w:rsid w:val="00DD1BB3"/>
    <w:rsid w:val="00E612FF"/>
    <w:rsid w:val="00E9389C"/>
    <w:rsid w:val="00EB1B31"/>
    <w:rsid w:val="00ED39B0"/>
    <w:rsid w:val="00EE348A"/>
    <w:rsid w:val="00F33AA6"/>
    <w:rsid w:val="00F818D6"/>
    <w:rsid w:val="00F84255"/>
    <w:rsid w:val="00F971C9"/>
    <w:rsid w:val="00FB01E6"/>
    <w:rsid w:val="00FB7107"/>
    <w:rsid w:val="1F75A348"/>
    <w:rsid w:val="2A282A6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6718249C-9033-401A-9721-A92F0718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4">
    <w:name w:val="heading 4"/>
    <w:basedOn w:val="Normal"/>
    <w:link w:val="Heading4Char"/>
    <w:uiPriority w:val="9"/>
    <w:qFormat/>
    <w:rsid w:val="005B4DE0"/>
    <w:pPr>
      <w:spacing w:before="100" w:beforeAutospacing="1" w:after="100" w:afterAutospacing="1"/>
      <w:outlineLvl w:val="3"/>
    </w:pPr>
    <w:rPr>
      <w:rFonts w:ascii="Times New Roman" w:eastAsia="Times New Roman" w:hAnsi="Times New Roman" w:cs="Times New Roman"/>
      <w:b/>
      <w:bCs/>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NormalWeb">
    <w:name w:val="Normal (Web)"/>
    <w:basedOn w:val="Normal"/>
    <w:uiPriority w:val="99"/>
    <w:unhideWhenUsed/>
    <w:rsid w:val="005107EB"/>
    <w:pPr>
      <w:spacing w:before="100" w:beforeAutospacing="1" w:after="100" w:afterAutospacing="1"/>
    </w:pPr>
    <w:rPr>
      <w:rFonts w:ascii="Times New Roman" w:eastAsia="Times New Roman" w:hAnsi="Times New Roman" w:cs="Times New Roman"/>
      <w:lang w:val="en-AU" w:eastAsia="en-AU"/>
    </w:rPr>
  </w:style>
  <w:style w:type="character" w:customStyle="1" w:styleId="Heading4Char">
    <w:name w:val="Heading 4 Char"/>
    <w:basedOn w:val="DefaultParagraphFont"/>
    <w:link w:val="Heading4"/>
    <w:uiPriority w:val="9"/>
    <w:rsid w:val="005B4DE0"/>
    <w:rPr>
      <w:rFonts w:ascii="Times New Roman" w:eastAsia="Times New Roman" w:hAnsi="Times New Roman" w:cs="Times New Roman"/>
      <w:b/>
      <w:bCs/>
      <w:lang w:val="en-AU" w:eastAsia="en-AU"/>
    </w:rPr>
  </w:style>
  <w:style w:type="character" w:styleId="Strong">
    <w:name w:val="Strong"/>
    <w:basedOn w:val="DefaultParagraphFont"/>
    <w:uiPriority w:val="22"/>
    <w:qFormat/>
    <w:rsid w:val="005B4D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317127">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815874646">
      <w:bodyDiv w:val="1"/>
      <w:marLeft w:val="0"/>
      <w:marRight w:val="0"/>
      <w:marTop w:val="0"/>
      <w:marBottom w:val="0"/>
      <w:divBdr>
        <w:top w:val="none" w:sz="0" w:space="0" w:color="auto"/>
        <w:left w:val="none" w:sz="0" w:space="0" w:color="auto"/>
        <w:bottom w:val="none" w:sz="0" w:space="0" w:color="auto"/>
        <w:right w:val="none" w:sz="0" w:space="0" w:color="auto"/>
      </w:divBdr>
    </w:div>
    <w:div w:id="1844735374">
      <w:bodyDiv w:val="1"/>
      <w:marLeft w:val="0"/>
      <w:marRight w:val="0"/>
      <w:marTop w:val="0"/>
      <w:marBottom w:val="0"/>
      <w:divBdr>
        <w:top w:val="none" w:sz="0" w:space="0" w:color="auto"/>
        <w:left w:val="none" w:sz="0" w:space="0" w:color="auto"/>
        <w:bottom w:val="none" w:sz="0" w:space="0" w:color="auto"/>
        <w:right w:val="none" w:sz="0" w:space="0" w:color="auto"/>
      </w:divBdr>
      <w:divsChild>
        <w:div w:id="920800337">
          <w:marLeft w:val="0"/>
          <w:marRight w:val="0"/>
          <w:marTop w:val="0"/>
          <w:marBottom w:val="0"/>
          <w:divBdr>
            <w:top w:val="none" w:sz="0" w:space="0" w:color="auto"/>
            <w:left w:val="none" w:sz="0" w:space="0" w:color="auto"/>
            <w:bottom w:val="none" w:sz="0" w:space="0" w:color="auto"/>
            <w:right w:val="none" w:sz="0" w:space="0" w:color="auto"/>
          </w:divBdr>
        </w:div>
        <w:div w:id="990717847">
          <w:marLeft w:val="0"/>
          <w:marRight w:val="0"/>
          <w:marTop w:val="0"/>
          <w:marBottom w:val="0"/>
          <w:divBdr>
            <w:top w:val="none" w:sz="0" w:space="0" w:color="auto"/>
            <w:left w:val="none" w:sz="0" w:space="0" w:color="auto"/>
            <w:bottom w:val="none" w:sz="0" w:space="0" w:color="auto"/>
            <w:right w:val="none" w:sz="0" w:space="0" w:color="auto"/>
          </w:divBdr>
        </w:div>
        <w:div w:id="166107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C8FF6-7792-4A15-A664-4EF43B39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C375252D-E591-453A-8164-E6940B4D4083}">
  <ds:schemaRefs>
    <ds:schemaRef ds:uri="cab52c9b-ab33-4221-8af9-54f8f2b86a80"/>
    <ds:schemaRef ds:uri="http://schemas.microsoft.com/office/2006/metadata/properties"/>
    <ds:schemaRef ds:uri="6911e96c-4cc4-42d5-8e43-f93924cf6a05"/>
    <ds:schemaRef ds:uri="http://schemas.microsoft.com/office/2006/documentManagement/types"/>
    <ds:schemaRef ds:uri="http://www.w3.org/XML/1998/namespace"/>
    <ds:schemaRef ds:uri="http://purl.org/dc/dcmitype/"/>
    <ds:schemaRef ds:uri="http://schemas.openxmlformats.org/package/2006/metadata/core-properties"/>
    <ds:schemaRef ds:uri="http://purl.org/dc/elements/1.1/"/>
    <ds:schemaRef ds:uri="http://schemas.microsoft.com/office/infopath/2007/PartnerControls"/>
    <ds:schemaRef ds:uri="9c8a2b7b-0bee-4c48-b0a6-23db8982d3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863</Words>
  <Characters>5594</Characters>
  <Application>Microsoft Office Word</Application>
  <DocSecurity>0</DocSecurity>
  <Lines>46</Lines>
  <Paragraphs>12</Paragraphs>
  <ScaleCrop>false</ScaleCrop>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22</cp:revision>
  <dcterms:created xsi:type="dcterms:W3CDTF">2024-10-30T21:48:00Z</dcterms:created>
  <dcterms:modified xsi:type="dcterms:W3CDTF">2025-08-08T05:17:00Z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