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4"/>
      </w:tblGrid>
      <w:tr w:rsidR="001564A4" w:rsidRPr="0050053A" w14:paraId="5C38377B" w14:textId="77777777" w:rsidTr="004F1369">
        <w:trPr>
          <w:trHeight w:val="650"/>
          <w:jc w:val="center"/>
        </w:trPr>
        <w:tc>
          <w:tcPr>
            <w:tcW w:w="8714" w:type="dxa"/>
            <w:shd w:val="clear" w:color="auto" w:fill="auto"/>
          </w:tcPr>
          <w:p w14:paraId="5C44F357" w14:textId="7EB33E01" w:rsidR="001564A4" w:rsidRPr="00E865CD" w:rsidRDefault="00E865CD" w:rsidP="00E865CD">
            <w:pPr>
              <w:pStyle w:val="NoSpacing"/>
              <w:rPr>
                <w:rFonts w:ascii="Arial" w:hAnsi="Arial" w:cs="Arial"/>
                <w:b/>
                <w:bCs/>
                <w:lang w:val="en-US" w:eastAsia="zh-CN"/>
              </w:rPr>
            </w:pPr>
            <w:r w:rsidRPr="00E865CD">
              <w:rPr>
                <w:rFonts w:ascii="Arial" w:hAnsi="Arial" w:cs="Arial"/>
                <w:b/>
                <w:bCs/>
                <w:lang w:val="en-US"/>
              </w:rPr>
              <w:t xml:space="preserve">A comparison of non-small cell lung cancer </w:t>
            </w:r>
            <w:r w:rsidR="00660C9D">
              <w:rPr>
                <w:rFonts w:ascii="Arial" w:hAnsi="Arial" w:cs="Arial"/>
                <w:b/>
                <w:bCs/>
                <w:lang w:val="en-US"/>
              </w:rPr>
              <w:t xml:space="preserve">surgical </w:t>
            </w:r>
            <w:r w:rsidRPr="00E865CD">
              <w:rPr>
                <w:rFonts w:ascii="Arial" w:hAnsi="Arial" w:cs="Arial"/>
                <w:b/>
                <w:bCs/>
                <w:lang w:val="en-US"/>
              </w:rPr>
              <w:t>care</w:t>
            </w:r>
            <w:r w:rsidR="00684D85">
              <w:rPr>
                <w:rFonts w:ascii="Arial" w:hAnsi="Arial" w:cs="Arial"/>
                <w:b/>
                <w:bCs/>
                <w:lang w:val="en-US"/>
              </w:rPr>
              <w:t xml:space="preserve"> </w:t>
            </w:r>
            <w:r w:rsidRPr="00E865CD">
              <w:rPr>
                <w:rFonts w:ascii="Arial" w:hAnsi="Arial" w:cs="Arial"/>
                <w:b/>
                <w:bCs/>
                <w:lang w:val="en-US"/>
              </w:rPr>
              <w:t>indicators between Victoria and Queensland</w:t>
            </w:r>
          </w:p>
        </w:tc>
      </w:tr>
      <w:tr w:rsidR="001564A4" w:rsidRPr="0050053A" w14:paraId="0E2E035C" w14:textId="77777777" w:rsidTr="004F1369">
        <w:trPr>
          <w:trHeight w:val="975"/>
          <w:jc w:val="center"/>
        </w:trPr>
        <w:tc>
          <w:tcPr>
            <w:tcW w:w="8714" w:type="dxa"/>
            <w:shd w:val="clear" w:color="auto" w:fill="auto"/>
          </w:tcPr>
          <w:p w14:paraId="73B55295" w14:textId="3E8F7D2D" w:rsidR="001564A4" w:rsidRPr="00413B94" w:rsidRDefault="006D5941" w:rsidP="000A28E2">
            <w:pPr>
              <w:spacing w:before="120" w:after="120"/>
              <w:rPr>
                <w:rFonts w:ascii="Arial" w:hAnsi="Arial" w:cs="Arial"/>
                <w:sz w:val="22"/>
                <w:szCs w:val="22"/>
                <w:u w:val="single"/>
                <w:lang w:eastAsia="zh-CN"/>
              </w:rPr>
            </w:pPr>
            <w:r>
              <w:rPr>
                <w:rFonts w:ascii="Arial" w:hAnsi="Arial" w:cs="Arial"/>
                <w:sz w:val="22"/>
                <w:szCs w:val="22"/>
                <w:lang w:val="en-US" w:eastAsia="en-GB"/>
              </w:rPr>
              <w:t>Tracey Guan</w:t>
            </w:r>
            <w:bookmarkStart w:id="0" w:name="Text8"/>
            <w:r w:rsidR="00037CAE" w:rsidRPr="00037CAE">
              <w:rPr>
                <w:rFonts w:ascii="Arial" w:hAnsi="Arial" w:cs="Arial"/>
                <w:sz w:val="22"/>
                <w:szCs w:val="22"/>
                <w:vertAlign w:val="superscript"/>
                <w:lang w:val="en-US" w:eastAsia="en-GB"/>
              </w:rPr>
              <w:t>1</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Danica Cossio</w:t>
            </w:r>
            <w:r w:rsidR="00037CAE" w:rsidRPr="00037CAE">
              <w:rPr>
                <w:rFonts w:ascii="Arial" w:hAnsi="Arial" w:cs="Arial"/>
                <w:sz w:val="22"/>
                <w:szCs w:val="22"/>
                <w:vertAlign w:val="superscript"/>
                <w:lang w:val="en-US" w:eastAsia="en-GB"/>
              </w:rPr>
              <w:t>1</w:t>
            </w:r>
            <w:r>
              <w:rPr>
                <w:rFonts w:ascii="Arial" w:hAnsi="Arial" w:cs="Arial"/>
                <w:sz w:val="22"/>
                <w:szCs w:val="22"/>
                <w:lang w:val="en-US" w:eastAsia="en-GB"/>
              </w:rPr>
              <w:t>, Nathan Dunn</w:t>
            </w:r>
            <w:r w:rsidR="00037CAE" w:rsidRPr="00037CAE">
              <w:rPr>
                <w:rFonts w:ascii="Arial" w:hAnsi="Arial" w:cs="Arial"/>
                <w:sz w:val="22"/>
                <w:szCs w:val="22"/>
                <w:vertAlign w:val="superscript"/>
                <w:lang w:val="en-US" w:eastAsia="en-GB"/>
              </w:rPr>
              <w:t>1</w:t>
            </w:r>
            <w:r>
              <w:rPr>
                <w:rFonts w:ascii="Arial" w:hAnsi="Arial" w:cs="Arial"/>
                <w:sz w:val="22"/>
                <w:szCs w:val="22"/>
                <w:lang w:val="en-US" w:eastAsia="en-GB"/>
              </w:rPr>
              <w:t>, Nancy Tran</w:t>
            </w:r>
            <w:r w:rsidR="00037CAE" w:rsidRPr="00037CAE">
              <w:rPr>
                <w:rFonts w:ascii="Arial" w:hAnsi="Arial" w:cs="Arial"/>
                <w:sz w:val="22"/>
                <w:szCs w:val="22"/>
                <w:vertAlign w:val="superscript"/>
                <w:lang w:val="en-US" w:eastAsia="en-GB"/>
              </w:rPr>
              <w:t>1</w:t>
            </w:r>
            <w:r w:rsidR="00A458C8">
              <w:rPr>
                <w:rFonts w:ascii="Arial" w:hAnsi="Arial" w:cs="Arial"/>
                <w:sz w:val="22"/>
                <w:szCs w:val="22"/>
                <w:lang w:val="en-US" w:eastAsia="en-GB"/>
              </w:rPr>
              <w:t xml:space="preserve">, </w:t>
            </w:r>
            <w:r>
              <w:rPr>
                <w:rFonts w:ascii="Arial" w:hAnsi="Arial" w:cs="Arial"/>
                <w:sz w:val="22"/>
                <w:szCs w:val="22"/>
                <w:lang w:val="en-US" w:eastAsia="en-GB"/>
              </w:rPr>
              <w:t>Euan Walpole</w:t>
            </w:r>
            <w:r w:rsidRPr="006D5941">
              <w:rPr>
                <w:rFonts w:ascii="Arial" w:hAnsi="Arial" w:cs="Arial"/>
                <w:sz w:val="22"/>
                <w:szCs w:val="22"/>
                <w:vertAlign w:val="superscript"/>
                <w:lang w:val="en-US" w:eastAsia="en-GB"/>
              </w:rPr>
              <w:t>4,5,6</w:t>
            </w:r>
            <w:r w:rsidR="00A458C8">
              <w:rPr>
                <w:rFonts w:ascii="Arial" w:hAnsi="Arial" w:cs="Arial"/>
                <w:sz w:val="22"/>
                <w:szCs w:val="22"/>
                <w:lang w:val="en-US" w:eastAsia="en-GB"/>
              </w:rPr>
              <w:t xml:space="preserve">, </w:t>
            </w:r>
            <w:r>
              <w:rPr>
                <w:rFonts w:ascii="Arial" w:hAnsi="Arial" w:cs="Arial"/>
                <w:sz w:val="22"/>
                <w:szCs w:val="22"/>
                <w:lang w:val="en-US" w:eastAsia="en-GB"/>
              </w:rPr>
              <w:t>Ella Stuart</w:t>
            </w:r>
            <w:r w:rsidR="00037CAE" w:rsidRPr="00037CAE">
              <w:rPr>
                <w:rFonts w:ascii="Arial" w:hAnsi="Arial" w:cs="Arial"/>
                <w:sz w:val="22"/>
                <w:szCs w:val="22"/>
                <w:vertAlign w:val="superscript"/>
                <w:lang w:val="en-US" w:eastAsia="en-GB"/>
              </w:rPr>
              <w:t>2,3</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w:t>
            </w:r>
            <w:r w:rsidR="001564A4">
              <w:rPr>
                <w:rFonts w:ascii="Arial" w:hAnsi="Arial" w:cs="Arial"/>
                <w:sz w:val="22"/>
                <w:szCs w:val="22"/>
                <w:lang w:val="en-US" w:eastAsia="en-GB"/>
              </w:rPr>
              <w:t>T</w:t>
            </w:r>
            <w:r>
              <w:rPr>
                <w:rFonts w:ascii="Arial" w:hAnsi="Arial" w:cs="Arial"/>
                <w:sz w:val="22"/>
                <w:szCs w:val="22"/>
                <w:lang w:val="en-US" w:eastAsia="en-GB"/>
              </w:rPr>
              <w:t>ommy Hon Ting Wong</w:t>
            </w:r>
            <w:r w:rsidR="00037CAE">
              <w:rPr>
                <w:rFonts w:ascii="Arial" w:hAnsi="Arial" w:cs="Arial"/>
                <w:sz w:val="22"/>
                <w:szCs w:val="22"/>
                <w:vertAlign w:val="superscript"/>
                <w:lang w:val="en-US" w:eastAsia="en-GB"/>
              </w:rPr>
              <w:t>2,3</w:t>
            </w:r>
            <w:r w:rsidR="00A458C8">
              <w:rPr>
                <w:rFonts w:ascii="Arial" w:hAnsi="Arial" w:cs="Arial"/>
                <w:sz w:val="22"/>
                <w:szCs w:val="22"/>
                <w:lang w:val="en-US" w:eastAsia="en-GB"/>
              </w:rPr>
              <w:t>,</w:t>
            </w:r>
            <w:r>
              <w:rPr>
                <w:rFonts w:ascii="Arial" w:hAnsi="Arial" w:cs="Arial"/>
                <w:sz w:val="22"/>
                <w:szCs w:val="22"/>
                <w:lang w:val="en-US" w:eastAsia="en-GB"/>
              </w:rPr>
              <w:t xml:space="preserve"> Kathryn Whitfield</w:t>
            </w:r>
            <w:r w:rsidR="00037CAE" w:rsidRPr="00037CAE">
              <w:rPr>
                <w:rFonts w:ascii="Arial" w:hAnsi="Arial" w:cs="Arial"/>
                <w:sz w:val="22"/>
                <w:szCs w:val="22"/>
                <w:vertAlign w:val="superscript"/>
                <w:lang w:val="en-US" w:eastAsia="en-GB"/>
              </w:rPr>
              <w:t>3</w:t>
            </w:r>
          </w:p>
        </w:tc>
      </w:tr>
      <w:tr w:rsidR="001564A4" w:rsidRPr="0050053A" w14:paraId="385A19D9" w14:textId="77777777" w:rsidTr="004F1369">
        <w:trPr>
          <w:trHeight w:val="176"/>
          <w:jc w:val="center"/>
        </w:trPr>
        <w:tc>
          <w:tcPr>
            <w:tcW w:w="8714" w:type="dxa"/>
            <w:shd w:val="clear" w:color="auto" w:fill="auto"/>
          </w:tcPr>
          <w:p w14:paraId="32B8E24A" w14:textId="38C710B7" w:rsidR="00037CAE" w:rsidRPr="00037CAE" w:rsidRDefault="00037CAE" w:rsidP="00037CAE">
            <w:pPr>
              <w:pStyle w:val="NoSpacing"/>
              <w:rPr>
                <w:rFonts w:ascii="Arial" w:hAnsi="Arial" w:cs="Arial"/>
                <w:i/>
                <w:iCs/>
                <w:lang w:val="en-US" w:eastAsia="en-GB"/>
              </w:rPr>
            </w:pPr>
            <w:bookmarkStart w:id="1" w:name="_Hlk148508469"/>
            <w:r w:rsidRPr="00037CAE">
              <w:rPr>
                <w:rFonts w:ascii="Arial" w:hAnsi="Arial" w:cs="Arial"/>
                <w:i/>
                <w:iCs/>
              </w:rPr>
              <w:t>1 Cancer Alliance Queensland, Metro South Health, Queensland, Australia</w:t>
            </w:r>
          </w:p>
          <w:p w14:paraId="4057CB63" w14:textId="6AB38211" w:rsidR="00C23C3A" w:rsidRPr="00037CAE" w:rsidRDefault="00037CAE" w:rsidP="00037CAE">
            <w:pPr>
              <w:pStyle w:val="NoSpacing"/>
              <w:rPr>
                <w:rFonts w:ascii="Arial" w:hAnsi="Arial" w:cs="Arial"/>
                <w:i/>
                <w:iCs/>
              </w:rPr>
            </w:pPr>
            <w:r w:rsidRPr="00037CAE">
              <w:rPr>
                <w:rFonts w:ascii="Arial" w:hAnsi="Arial" w:cs="Arial"/>
                <w:i/>
                <w:iCs/>
                <w:lang w:val="en-US" w:eastAsia="en-GB"/>
              </w:rPr>
              <w:t xml:space="preserve">2 </w:t>
            </w:r>
            <w:r w:rsidR="00E063BC" w:rsidRPr="00037CAE">
              <w:rPr>
                <w:rFonts w:ascii="Arial" w:hAnsi="Arial" w:cs="Arial"/>
                <w:i/>
                <w:iCs/>
                <w:lang w:val="en-US" w:eastAsia="en-GB"/>
              </w:rPr>
              <w:t>V</w:t>
            </w:r>
            <w:proofErr w:type="spellStart"/>
            <w:r w:rsidR="006D5941" w:rsidRPr="00037CAE">
              <w:rPr>
                <w:rFonts w:ascii="Arial" w:hAnsi="Arial" w:cs="Arial"/>
                <w:i/>
                <w:iCs/>
              </w:rPr>
              <w:t>ictorian</w:t>
            </w:r>
            <w:proofErr w:type="spellEnd"/>
            <w:r w:rsidR="006D5941" w:rsidRPr="00037CAE">
              <w:rPr>
                <w:rFonts w:ascii="Arial" w:hAnsi="Arial" w:cs="Arial"/>
                <w:i/>
                <w:iCs/>
              </w:rPr>
              <w:t xml:space="preserve"> Cancer Registry, Cancer Council Victoria, </w:t>
            </w:r>
            <w:r w:rsidR="00E063BC" w:rsidRPr="00037CAE">
              <w:rPr>
                <w:rFonts w:ascii="Arial" w:hAnsi="Arial" w:cs="Arial"/>
                <w:i/>
                <w:iCs/>
              </w:rPr>
              <w:t>Victoria</w:t>
            </w:r>
            <w:r w:rsidR="006D5941" w:rsidRPr="00037CAE">
              <w:rPr>
                <w:rFonts w:ascii="Arial" w:hAnsi="Arial" w:cs="Arial"/>
                <w:i/>
                <w:iCs/>
              </w:rPr>
              <w:t>, Australia</w:t>
            </w:r>
          </w:p>
          <w:p w14:paraId="619251F4" w14:textId="08D65B89" w:rsidR="006D5941" w:rsidRPr="00037CAE" w:rsidRDefault="00037CAE" w:rsidP="00037CAE">
            <w:pPr>
              <w:rPr>
                <w:rFonts w:ascii="Arial" w:hAnsi="Arial" w:cs="Arial"/>
                <w:i/>
                <w:iCs/>
                <w:sz w:val="22"/>
                <w:szCs w:val="22"/>
                <w:vertAlign w:val="superscript"/>
                <w:lang w:val="en-US" w:eastAsia="en-GB"/>
              </w:rPr>
            </w:pPr>
            <w:r w:rsidRPr="00037CAE">
              <w:rPr>
                <w:rFonts w:ascii="Arial" w:hAnsi="Arial" w:cs="Arial"/>
                <w:i/>
                <w:iCs/>
                <w:sz w:val="22"/>
                <w:szCs w:val="22"/>
              </w:rPr>
              <w:t xml:space="preserve">3 </w:t>
            </w:r>
            <w:r w:rsidR="006D5941" w:rsidRPr="00037CAE">
              <w:rPr>
                <w:rFonts w:ascii="Arial" w:hAnsi="Arial" w:cs="Arial"/>
                <w:i/>
                <w:iCs/>
                <w:sz w:val="22"/>
                <w:szCs w:val="22"/>
              </w:rPr>
              <w:t xml:space="preserve">Cancer Support, Treatment and Research, Department of Health, </w:t>
            </w:r>
            <w:r w:rsidR="00E063BC" w:rsidRPr="00037CAE">
              <w:rPr>
                <w:rFonts w:ascii="Arial" w:hAnsi="Arial" w:cs="Arial"/>
                <w:i/>
                <w:iCs/>
                <w:sz w:val="22"/>
                <w:szCs w:val="22"/>
              </w:rPr>
              <w:t>Victoria</w:t>
            </w:r>
            <w:r w:rsidR="006D5941" w:rsidRPr="00037CAE">
              <w:rPr>
                <w:rFonts w:ascii="Arial" w:hAnsi="Arial" w:cs="Arial"/>
                <w:i/>
                <w:iCs/>
                <w:sz w:val="22"/>
                <w:szCs w:val="22"/>
              </w:rPr>
              <w:t>, Australia</w:t>
            </w:r>
            <w:r w:rsidR="006D5941" w:rsidRPr="00037CAE">
              <w:rPr>
                <w:rFonts w:ascii="Arial" w:hAnsi="Arial" w:cs="Arial"/>
                <w:i/>
                <w:iCs/>
                <w:sz w:val="22"/>
                <w:szCs w:val="22"/>
                <w:vertAlign w:val="superscript"/>
                <w:lang w:val="en-US" w:eastAsia="en-GB"/>
              </w:rPr>
              <w:t xml:space="preserve"> </w:t>
            </w:r>
          </w:p>
          <w:p w14:paraId="2EE02CEA" w14:textId="7E07C64B" w:rsidR="006D5941" w:rsidRPr="00037CAE" w:rsidRDefault="00037CAE" w:rsidP="00037CAE">
            <w:pPr>
              <w:pStyle w:val="NoSpacing"/>
              <w:rPr>
                <w:rFonts w:ascii="Arial" w:hAnsi="Arial" w:cs="Arial"/>
                <w:i/>
                <w:iCs/>
              </w:rPr>
            </w:pPr>
            <w:r w:rsidRPr="00037CAE">
              <w:rPr>
                <w:rFonts w:ascii="Arial" w:hAnsi="Arial" w:cs="Arial"/>
                <w:i/>
                <w:iCs/>
              </w:rPr>
              <w:t xml:space="preserve">4 </w:t>
            </w:r>
            <w:r w:rsidR="006D5941" w:rsidRPr="00037CAE">
              <w:rPr>
                <w:rFonts w:ascii="Arial" w:hAnsi="Arial" w:cs="Arial"/>
                <w:i/>
                <w:iCs/>
              </w:rPr>
              <w:t xml:space="preserve">Queensland Cancer Control Safety and Quality Partnership, Cancer Alliance Queensland, </w:t>
            </w:r>
            <w:r w:rsidR="00847DFA" w:rsidRPr="00037CAE">
              <w:rPr>
                <w:rFonts w:ascii="Arial" w:hAnsi="Arial" w:cs="Arial"/>
                <w:i/>
                <w:iCs/>
              </w:rPr>
              <w:t xml:space="preserve">Metro South Health, </w:t>
            </w:r>
            <w:r w:rsidR="006D5941" w:rsidRPr="00037CAE">
              <w:rPr>
                <w:rFonts w:ascii="Arial" w:hAnsi="Arial" w:cs="Arial"/>
                <w:i/>
                <w:iCs/>
              </w:rPr>
              <w:t>Queensland, Australia</w:t>
            </w:r>
          </w:p>
          <w:p w14:paraId="50CC9CF1" w14:textId="7668365A" w:rsidR="006D5941" w:rsidRPr="00037CAE" w:rsidRDefault="00037CAE" w:rsidP="00037CAE">
            <w:pPr>
              <w:pStyle w:val="NoSpacing"/>
              <w:rPr>
                <w:rFonts w:ascii="Arial" w:hAnsi="Arial" w:cs="Arial"/>
                <w:i/>
                <w:iCs/>
                <w:vertAlign w:val="superscript"/>
              </w:rPr>
            </w:pPr>
            <w:r w:rsidRPr="00037CAE">
              <w:rPr>
                <w:rFonts w:ascii="Arial" w:hAnsi="Arial" w:cs="Arial"/>
                <w:i/>
                <w:iCs/>
              </w:rPr>
              <w:t xml:space="preserve">5 </w:t>
            </w:r>
            <w:r w:rsidR="006D5941" w:rsidRPr="00037CAE">
              <w:rPr>
                <w:rFonts w:ascii="Arial" w:hAnsi="Arial" w:cs="Arial"/>
                <w:i/>
                <w:iCs/>
              </w:rPr>
              <w:t xml:space="preserve">Princess Alexandra Hospital, </w:t>
            </w:r>
            <w:r w:rsidR="00E063BC" w:rsidRPr="00037CAE">
              <w:rPr>
                <w:rFonts w:ascii="Arial" w:hAnsi="Arial" w:cs="Arial"/>
                <w:i/>
                <w:iCs/>
              </w:rPr>
              <w:t>Metro South Health</w:t>
            </w:r>
            <w:r w:rsidR="006D5941" w:rsidRPr="00037CAE">
              <w:rPr>
                <w:rFonts w:ascii="Arial" w:hAnsi="Arial" w:cs="Arial"/>
                <w:i/>
                <w:iCs/>
              </w:rPr>
              <w:t>, Queensland</w:t>
            </w:r>
            <w:r w:rsidR="00E063BC" w:rsidRPr="00037CAE">
              <w:rPr>
                <w:rFonts w:ascii="Arial" w:hAnsi="Arial" w:cs="Arial"/>
                <w:i/>
                <w:iCs/>
              </w:rPr>
              <w:t>, Australia</w:t>
            </w:r>
          </w:p>
          <w:p w14:paraId="1A1D13F4" w14:textId="77777777" w:rsidR="00E60340" w:rsidRDefault="00037CAE" w:rsidP="00D046FB">
            <w:pPr>
              <w:pStyle w:val="NoSpacing"/>
              <w:rPr>
                <w:rFonts w:ascii="Arial" w:hAnsi="Arial" w:cs="Arial"/>
                <w:i/>
                <w:iCs/>
              </w:rPr>
            </w:pPr>
            <w:r w:rsidRPr="00037CAE">
              <w:rPr>
                <w:rFonts w:ascii="Arial" w:hAnsi="Arial" w:cs="Arial"/>
                <w:i/>
                <w:iCs/>
              </w:rPr>
              <w:t xml:space="preserve">6 </w:t>
            </w:r>
            <w:r w:rsidR="006D5941" w:rsidRPr="00037CAE">
              <w:rPr>
                <w:rFonts w:ascii="Arial" w:hAnsi="Arial" w:cs="Arial"/>
                <w:i/>
                <w:iCs/>
              </w:rPr>
              <w:t>Department of Medicine, University of Queensland, Queensland</w:t>
            </w:r>
            <w:r w:rsidR="00E063BC" w:rsidRPr="00037CAE">
              <w:rPr>
                <w:rFonts w:ascii="Arial" w:hAnsi="Arial" w:cs="Arial"/>
                <w:i/>
                <w:iCs/>
              </w:rPr>
              <w:t>, Australia</w:t>
            </w:r>
            <w:bookmarkEnd w:id="1"/>
          </w:p>
          <w:p w14:paraId="45ED36BF" w14:textId="1364B915" w:rsidR="00D046FB" w:rsidRPr="0050053A" w:rsidRDefault="00D046FB" w:rsidP="00D046FB">
            <w:pPr>
              <w:pStyle w:val="NoSpacing"/>
              <w:rPr>
                <w:rFonts w:ascii="Arial" w:hAnsi="Arial" w:cs="Arial"/>
                <w:i/>
                <w:lang w:val="en-US" w:eastAsia="en-GB"/>
              </w:rPr>
            </w:pPr>
          </w:p>
        </w:tc>
      </w:tr>
      <w:tr w:rsidR="001564A4" w:rsidRPr="0050053A" w14:paraId="6DAF615A" w14:textId="77777777" w:rsidTr="004F1369">
        <w:trPr>
          <w:trHeight w:hRule="exact" w:val="9548"/>
          <w:jc w:val="center"/>
        </w:trPr>
        <w:tc>
          <w:tcPr>
            <w:tcW w:w="8714"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03C6773" w14:textId="77777777" w:rsidR="00C271E5" w:rsidRPr="00084513" w:rsidRDefault="00C271E5" w:rsidP="00C271E5">
            <w:pPr>
              <w:pStyle w:val="NoSpacing"/>
              <w:rPr>
                <w:rFonts w:ascii="Arial" w:hAnsi="Arial" w:cs="Arial"/>
              </w:rPr>
            </w:pPr>
            <w:r w:rsidRPr="00084513">
              <w:rPr>
                <w:rFonts w:ascii="Arial" w:hAnsi="Arial" w:cs="Arial"/>
              </w:rPr>
              <w:t xml:space="preserve">Identifying unwarranted variations in cancer care between states highlights opportunities for improving patient care and provides real-world comparisons of cancer specific indicators based on clinical guidelines. This study aimed to compare state-wide cancer treatment and survival data among patients with non-small cell lung cancer (NSCLC) between Queensland (Qld) and Victoria (Vic). </w:t>
            </w:r>
          </w:p>
          <w:p w14:paraId="298A318C" w14:textId="77777777" w:rsidR="00C477C2" w:rsidRDefault="00C477C2" w:rsidP="000A28E2">
            <w:pPr>
              <w:pStyle w:val="Pa12"/>
              <w:rPr>
                <w:rStyle w:val="A4"/>
                <w:b/>
                <w:bCs/>
              </w:rPr>
            </w:pPr>
          </w:p>
          <w:p w14:paraId="1B39336E" w14:textId="2AC5CDAC" w:rsidR="001564A4"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167F2051" w14:textId="77777777" w:rsidR="00C271E5" w:rsidRPr="00084513" w:rsidRDefault="00C271E5" w:rsidP="00C271E5">
            <w:pPr>
              <w:pStyle w:val="NoSpacing"/>
              <w:rPr>
                <w:rFonts w:ascii="Arial" w:hAnsi="Arial" w:cs="Arial"/>
              </w:rPr>
            </w:pPr>
            <w:r w:rsidRPr="00084513">
              <w:rPr>
                <w:rFonts w:ascii="Arial" w:hAnsi="Arial" w:cs="Arial"/>
              </w:rPr>
              <w:t>Queensland data were obtained from the Qld Oncology Repository and Victorian data from the Centre for Victorian Data Linkage Integrated Data Resource. Both resources involved linkage with multiple state-wide datasets. NSCLC patients diagnosed between 2015-2019 were included (Vic N = 13,255, Qld N = 10,500). The data</w:t>
            </w:r>
            <w:r>
              <w:rPr>
                <w:rFonts w:ascii="Arial" w:hAnsi="Arial" w:cs="Arial"/>
              </w:rPr>
              <w:t>sets were</w:t>
            </w:r>
            <w:r w:rsidRPr="00084513">
              <w:rPr>
                <w:rFonts w:ascii="Arial" w:hAnsi="Arial" w:cs="Arial"/>
              </w:rPr>
              <w:t xml:space="preserve"> not combined, and the methodology and indicators were based on Qld Cancer Quality Index. </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16CA6CA4" w14:textId="77777777" w:rsidR="00C271E5" w:rsidRPr="00084513" w:rsidRDefault="00C271E5" w:rsidP="00C271E5">
            <w:pPr>
              <w:pStyle w:val="NoSpacing"/>
              <w:rPr>
                <w:rFonts w:ascii="Arial" w:hAnsi="Arial" w:cs="Arial"/>
              </w:rPr>
            </w:pPr>
            <w:r w:rsidRPr="00084513">
              <w:rPr>
                <w:rFonts w:ascii="Arial" w:hAnsi="Arial" w:cs="Arial"/>
              </w:rPr>
              <w:t>Similar patterns of care for NSCLC were found between states when comparing treatment rates. Surgical mortality and survival rates were excellent when compared with national and international benchmarks. Variation in 90-day surgical mortality was identified (Qld 1.2%, Vic 3.1%) and 1 year surgical survival (Qld 94%, Vic 90%). Variation in practice was also found in time to surgery</w:t>
            </w:r>
            <w:r>
              <w:rPr>
                <w:rFonts w:ascii="Arial" w:hAnsi="Arial" w:cs="Arial"/>
              </w:rPr>
              <w:t xml:space="preserve">. </w:t>
            </w:r>
            <w:r w:rsidRPr="00084513">
              <w:rPr>
                <w:rFonts w:ascii="Arial" w:hAnsi="Arial" w:cs="Arial"/>
              </w:rPr>
              <w:t xml:space="preserve">In Qld 54% of patients received surgery within 30 days of diagnosis compared with 76% </w:t>
            </w:r>
            <w:r>
              <w:rPr>
                <w:rFonts w:ascii="Arial" w:hAnsi="Arial" w:cs="Arial"/>
              </w:rPr>
              <w:t>in</w:t>
            </w:r>
            <w:r w:rsidRPr="00084513">
              <w:rPr>
                <w:rFonts w:ascii="Arial" w:hAnsi="Arial" w:cs="Arial"/>
              </w:rPr>
              <w:t xml:space="preserve"> Vic. This result was </w:t>
            </w:r>
            <w:r>
              <w:rPr>
                <w:rFonts w:ascii="Arial" w:hAnsi="Arial" w:cs="Arial"/>
              </w:rPr>
              <w:t>poorer in</w:t>
            </w:r>
            <w:r w:rsidRPr="00084513">
              <w:rPr>
                <w:rFonts w:ascii="Arial" w:hAnsi="Arial" w:cs="Arial"/>
              </w:rPr>
              <w:t xml:space="preserve"> public facilities</w:t>
            </w:r>
            <w:r>
              <w:rPr>
                <w:rFonts w:ascii="Arial" w:hAnsi="Arial" w:cs="Arial"/>
              </w:rPr>
              <w:t xml:space="preserve"> for Qld</w:t>
            </w:r>
            <w:r w:rsidRPr="00084513">
              <w:rPr>
                <w:rFonts w:ascii="Arial" w:hAnsi="Arial" w:cs="Arial"/>
              </w:rPr>
              <w:t xml:space="preserve">, </w:t>
            </w:r>
            <w:r>
              <w:rPr>
                <w:rFonts w:ascii="Arial" w:hAnsi="Arial" w:cs="Arial"/>
              </w:rPr>
              <w:t>(</w:t>
            </w:r>
            <w:r w:rsidRPr="00084513">
              <w:rPr>
                <w:rFonts w:ascii="Arial" w:hAnsi="Arial" w:cs="Arial"/>
              </w:rPr>
              <w:t>Qld 40%</w:t>
            </w:r>
            <w:r>
              <w:rPr>
                <w:rFonts w:ascii="Arial" w:hAnsi="Arial" w:cs="Arial"/>
              </w:rPr>
              <w:t>, Vic 70%).</w:t>
            </w:r>
          </w:p>
          <w:p w14:paraId="0861549B" w14:textId="107B3038" w:rsidR="001564A4" w:rsidRPr="0050053A" w:rsidRDefault="001564A4" w:rsidP="000A28E2">
            <w:pPr>
              <w:pStyle w:val="Pa12"/>
              <w:rPr>
                <w:sz w:val="22"/>
                <w:szCs w:val="22"/>
              </w:rPr>
            </w:pPr>
          </w:p>
          <w:p w14:paraId="652F7BE1" w14:textId="7ED2A01E" w:rsidR="001564A4" w:rsidRPr="0050053A" w:rsidRDefault="001564A4" w:rsidP="000A28E2">
            <w:pPr>
              <w:pStyle w:val="Pa12"/>
              <w:rPr>
                <w:rStyle w:val="A4"/>
                <w:b/>
                <w:bCs/>
              </w:rPr>
            </w:pPr>
            <w:r w:rsidRPr="0050053A">
              <w:rPr>
                <w:rStyle w:val="A4"/>
                <w:b/>
                <w:bCs/>
              </w:rPr>
              <w:t xml:space="preserve">Conclusion: </w:t>
            </w:r>
          </w:p>
          <w:p w14:paraId="6ACB4276" w14:textId="331FC9C3" w:rsidR="00C271E5" w:rsidRPr="009B7FBE" w:rsidRDefault="00C271E5" w:rsidP="00C271E5">
            <w:pPr>
              <w:rPr>
                <w:rFonts w:ascii="Arial" w:hAnsi="Arial" w:cs="Arial"/>
                <w:sz w:val="22"/>
                <w:szCs w:val="22"/>
              </w:rPr>
            </w:pPr>
            <w:r w:rsidRPr="009B7FBE">
              <w:rPr>
                <w:rFonts w:ascii="Arial" w:hAnsi="Arial" w:cs="Arial"/>
                <w:sz w:val="22"/>
                <w:szCs w:val="22"/>
              </w:rPr>
              <w:t xml:space="preserve">This project demonstrates the mutual benefit of identifying areas of improvement in Vic and Qld and serves as a model for other Australian states to join and enable the development of reporting and monitoring to drive healthcare performance towards best practice and improved outcomes for people with cancer. Both states saw improvements across most reported outcome measures compared to </w:t>
            </w:r>
            <w:r w:rsidR="00BF3BF5">
              <w:rPr>
                <w:rFonts w:ascii="Arial" w:hAnsi="Arial" w:cs="Arial"/>
                <w:sz w:val="22"/>
                <w:szCs w:val="22"/>
              </w:rPr>
              <w:t xml:space="preserve">previous reporting. </w:t>
            </w:r>
            <w:r w:rsidRPr="009B7FBE">
              <w:rPr>
                <w:rFonts w:ascii="Arial" w:hAnsi="Arial" w:cs="Arial"/>
                <w:sz w:val="22"/>
                <w:szCs w:val="22"/>
              </w:rPr>
              <w:t>Further analysis is required to investigate waiting times for priority population groups such as rural and remote areas, elderly, lower socioeconomic status</w:t>
            </w:r>
            <w:r w:rsidR="0021103D">
              <w:rPr>
                <w:rFonts w:ascii="Arial" w:hAnsi="Arial" w:cs="Arial"/>
                <w:sz w:val="22"/>
                <w:szCs w:val="22"/>
              </w:rPr>
              <w:t>,</w:t>
            </w:r>
            <w:r w:rsidRPr="009B7FBE">
              <w:rPr>
                <w:rFonts w:ascii="Arial" w:hAnsi="Arial" w:cs="Arial"/>
                <w:sz w:val="22"/>
                <w:szCs w:val="22"/>
              </w:rPr>
              <w:t xml:space="preserve"> and First Nations peoples. </w:t>
            </w:r>
          </w:p>
          <w:p w14:paraId="13148789" w14:textId="3BF4885A" w:rsidR="00684D85" w:rsidRDefault="00684D85" w:rsidP="00684D85">
            <w:pPr>
              <w:rPr>
                <w:rFonts w:ascii="Arial" w:hAnsi="Arial" w:cs="Arial"/>
                <w:sz w:val="22"/>
                <w:szCs w:val="22"/>
              </w:rPr>
            </w:pPr>
          </w:p>
          <w:p w14:paraId="2F1FB266" w14:textId="66F111D2" w:rsidR="009B7FBE" w:rsidRPr="00684D85" w:rsidRDefault="00230EAB" w:rsidP="00684D85">
            <w:pPr>
              <w:rPr>
                <w:rFonts w:ascii="Arial" w:hAnsi="Arial" w:cs="Arial"/>
                <w:sz w:val="22"/>
                <w:szCs w:val="22"/>
              </w:rPr>
            </w:pPr>
            <w:r w:rsidRPr="00230EAB">
              <w:rPr>
                <w:rFonts w:ascii="Arial" w:hAnsi="Arial" w:cs="Arial"/>
                <w:b/>
                <w:bCs/>
                <w:sz w:val="22"/>
                <w:szCs w:val="22"/>
              </w:rPr>
              <w:t>Grant Support:</w:t>
            </w:r>
            <w:r>
              <w:rPr>
                <w:rFonts w:ascii="Arial" w:hAnsi="Arial" w:cs="Arial"/>
                <w:sz w:val="22"/>
                <w:szCs w:val="22"/>
              </w:rPr>
              <w:t xml:space="preserve"> Nil</w:t>
            </w:r>
          </w:p>
          <w:p w14:paraId="050A96F3" w14:textId="77777777" w:rsidR="00881A37" w:rsidRDefault="00881A37" w:rsidP="00C477C2">
            <w:pPr>
              <w:rPr>
                <w:rFonts w:ascii="Arial" w:hAnsi="Arial" w:cs="Arial"/>
                <w:sz w:val="22"/>
                <w:szCs w:val="22"/>
              </w:rPr>
            </w:pPr>
          </w:p>
          <w:p w14:paraId="35B38632" w14:textId="43300C86" w:rsidR="00881A37" w:rsidRDefault="00881A37" w:rsidP="00C477C2">
            <w:pPr>
              <w:rPr>
                <w:rFonts w:ascii="Arial" w:hAnsi="Arial" w:cs="Arial"/>
                <w:sz w:val="22"/>
                <w:szCs w:val="22"/>
              </w:rPr>
            </w:pPr>
          </w:p>
          <w:p w14:paraId="255D3AC9" w14:textId="04A4FD27" w:rsidR="00881A37" w:rsidRDefault="00881A37" w:rsidP="00C477C2">
            <w:pPr>
              <w:rPr>
                <w:rFonts w:ascii="Arial" w:hAnsi="Arial" w:cs="Arial"/>
                <w:sz w:val="22"/>
                <w:szCs w:val="22"/>
              </w:rPr>
            </w:pPr>
          </w:p>
          <w:p w14:paraId="48906343" w14:textId="663CCD9D" w:rsidR="00881A37" w:rsidRDefault="00881A37" w:rsidP="00C477C2">
            <w:pPr>
              <w:rPr>
                <w:rFonts w:ascii="Arial" w:hAnsi="Arial" w:cs="Arial"/>
                <w:sz w:val="22"/>
                <w:szCs w:val="22"/>
              </w:rPr>
            </w:pPr>
          </w:p>
          <w:p w14:paraId="45A8FCCA" w14:textId="7EF6BBC7" w:rsidR="00881A37" w:rsidRDefault="00881A37" w:rsidP="00C477C2">
            <w:pPr>
              <w:rPr>
                <w:rFonts w:ascii="Arial" w:hAnsi="Arial" w:cs="Arial"/>
                <w:sz w:val="22"/>
                <w:szCs w:val="22"/>
              </w:rPr>
            </w:pPr>
          </w:p>
          <w:p w14:paraId="5A8EBECC" w14:textId="77777777" w:rsidR="00881A37" w:rsidRPr="00C477C2" w:rsidRDefault="00881A37" w:rsidP="00C477C2">
            <w:pPr>
              <w:rPr>
                <w:rFonts w:ascii="Arial" w:hAnsi="Arial" w:cs="Arial"/>
                <w:sz w:val="22"/>
                <w:szCs w:val="22"/>
              </w:rPr>
            </w:pPr>
          </w:p>
          <w:p w14:paraId="69B04572" w14:textId="77777777" w:rsidR="001564A4" w:rsidRPr="0050053A" w:rsidRDefault="001564A4" w:rsidP="000A28E2">
            <w:pPr>
              <w:pStyle w:val="Pa12"/>
              <w:rPr>
                <w:sz w:val="22"/>
                <w:szCs w:val="22"/>
              </w:rPr>
            </w:pPr>
            <w:r>
              <w:rPr>
                <w:sz w:val="22"/>
                <w:szCs w:val="22"/>
              </w:rPr>
              <w:br/>
            </w:r>
          </w:p>
          <w:p w14:paraId="2A651708" w14:textId="63D2B751" w:rsidR="001564A4" w:rsidRDefault="001564A4" w:rsidP="000A28E2">
            <w:pPr>
              <w:pStyle w:val="Pa12"/>
              <w:rPr>
                <w:sz w:val="22"/>
                <w:szCs w:val="22"/>
              </w:rPr>
            </w:pPr>
          </w:p>
          <w:p w14:paraId="25CF9171" w14:textId="270B6EEC" w:rsidR="00881A37" w:rsidRDefault="00881A37" w:rsidP="00881A37">
            <w:pPr>
              <w:pStyle w:val="Default"/>
            </w:pPr>
          </w:p>
          <w:p w14:paraId="7CAB2986" w14:textId="77777777" w:rsidR="00881A37" w:rsidRPr="00881A37" w:rsidRDefault="00881A37" w:rsidP="00881A37">
            <w:pPr>
              <w:pStyle w:val="Default"/>
            </w:pPr>
          </w:p>
          <w:p w14:paraId="033167F9" w14:textId="77777777" w:rsidR="001564A4" w:rsidRPr="0050053A" w:rsidRDefault="001564A4" w:rsidP="000A28E2">
            <w:pPr>
              <w:pStyle w:val="Pa12"/>
              <w:rPr>
                <w:rStyle w:val="A4"/>
                <w:bCs/>
              </w:rPr>
            </w:pPr>
            <w:r>
              <w:rPr>
                <w:rStyle w:val="A4"/>
                <w:bCs/>
              </w:rPr>
              <w:t xml:space="preserve"> </w:t>
            </w:r>
          </w:p>
          <w:p w14:paraId="196E7BAC" w14:textId="77777777" w:rsidR="001564A4" w:rsidRPr="0050053A" w:rsidRDefault="001564A4" w:rsidP="000A28E2">
            <w:pPr>
              <w:pStyle w:val="Pa12"/>
              <w:rPr>
                <w:rStyle w:val="A4"/>
                <w:bCs/>
              </w:rPr>
            </w:pPr>
            <w:r>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5D1"/>
    <w:multiLevelType w:val="hybridMultilevel"/>
    <w:tmpl w:val="86C6D2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52C4B57"/>
    <w:multiLevelType w:val="hybridMultilevel"/>
    <w:tmpl w:val="3C9A33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0AA73A4"/>
    <w:multiLevelType w:val="hybridMultilevel"/>
    <w:tmpl w:val="DB4EBF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0F553D"/>
    <w:multiLevelType w:val="hybridMultilevel"/>
    <w:tmpl w:val="2C24B4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EBE761A"/>
    <w:multiLevelType w:val="hybridMultilevel"/>
    <w:tmpl w:val="1A3CB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0027302">
    <w:abstractNumId w:val="0"/>
  </w:num>
  <w:num w:numId="2" w16cid:durableId="393504158">
    <w:abstractNumId w:val="1"/>
  </w:num>
  <w:num w:numId="3" w16cid:durableId="2078747512">
    <w:abstractNumId w:val="4"/>
  </w:num>
  <w:num w:numId="4" w16cid:durableId="1912695366">
    <w:abstractNumId w:val="2"/>
  </w:num>
  <w:num w:numId="5" w16cid:durableId="857886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7CAE"/>
    <w:rsid w:val="000968FF"/>
    <w:rsid w:val="001564A4"/>
    <w:rsid w:val="0021103D"/>
    <w:rsid w:val="00230EAB"/>
    <w:rsid w:val="00362362"/>
    <w:rsid w:val="003F2FA6"/>
    <w:rsid w:val="004079A3"/>
    <w:rsid w:val="004252BB"/>
    <w:rsid w:val="004F1369"/>
    <w:rsid w:val="0051574E"/>
    <w:rsid w:val="00520953"/>
    <w:rsid w:val="005B5679"/>
    <w:rsid w:val="00660C9D"/>
    <w:rsid w:val="00684D85"/>
    <w:rsid w:val="006B3792"/>
    <w:rsid w:val="006D5941"/>
    <w:rsid w:val="007373CB"/>
    <w:rsid w:val="00740770"/>
    <w:rsid w:val="00847DFA"/>
    <w:rsid w:val="008803FA"/>
    <w:rsid w:val="00881A37"/>
    <w:rsid w:val="008C4A63"/>
    <w:rsid w:val="009B7FBE"/>
    <w:rsid w:val="00A458C8"/>
    <w:rsid w:val="00AC5766"/>
    <w:rsid w:val="00B12E32"/>
    <w:rsid w:val="00B67F94"/>
    <w:rsid w:val="00B91F4B"/>
    <w:rsid w:val="00BF3BF5"/>
    <w:rsid w:val="00C23C3A"/>
    <w:rsid w:val="00C271E5"/>
    <w:rsid w:val="00C477C2"/>
    <w:rsid w:val="00C63059"/>
    <w:rsid w:val="00D046FB"/>
    <w:rsid w:val="00E063BC"/>
    <w:rsid w:val="00E0700F"/>
    <w:rsid w:val="00E60340"/>
    <w:rsid w:val="00E865CD"/>
    <w:rsid w:val="00F85B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Spacing">
    <w:name w:val="No Spacing"/>
    <w:uiPriority w:val="1"/>
    <w:qFormat/>
    <w:rsid w:val="00C477C2"/>
    <w:rPr>
      <w:rFonts w:ascii="Calibri" w:eastAsia="Calibri" w:hAnsi="Calibri" w:cs="Times New Roman"/>
      <w:sz w:val="22"/>
      <w:szCs w:val="22"/>
      <w:lang w:val="en-AU"/>
    </w:rPr>
  </w:style>
  <w:style w:type="paragraph" w:styleId="ListParagraph">
    <w:name w:val="List Paragraph"/>
    <w:basedOn w:val="Normal"/>
    <w:uiPriority w:val="34"/>
    <w:qFormat/>
    <w:rsid w:val="00AC5766"/>
    <w:pPr>
      <w:ind w:left="720"/>
      <w:contextualSpacing/>
    </w:pPr>
  </w:style>
  <w:style w:type="character" w:styleId="EndnoteReference">
    <w:name w:val="endnote reference"/>
    <w:basedOn w:val="DefaultParagraphFont"/>
    <w:uiPriority w:val="99"/>
    <w:semiHidden/>
    <w:unhideWhenUsed/>
    <w:rsid w:val="00C27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Tracey Guan</cp:lastModifiedBy>
  <cp:revision>5</cp:revision>
  <dcterms:created xsi:type="dcterms:W3CDTF">2023-10-17T22:48:00Z</dcterms:created>
  <dcterms:modified xsi:type="dcterms:W3CDTF">2023-10-17T23:08:00Z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