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578EC7A" w:rsidR="001564A4" w:rsidRPr="001C7FE5" w:rsidRDefault="001C7FE5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1C7F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Telerehabilitation is effective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</w:t>
            </w:r>
            <w:r w:rsidRPr="001C7F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delivering exercise rehabilitation to</w:t>
            </w:r>
            <w:r w:rsidRPr="001C7FE5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 lung transplant candidates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42677640" w:rsidR="001564A4" w:rsidRPr="001C7FE5" w:rsidRDefault="001C7FE5" w:rsidP="001C7FE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4EE9">
              <w:rPr>
                <w:rFonts w:ascii="Arial" w:hAnsi="Arial" w:cs="Arial"/>
                <w:bCs/>
                <w:sz w:val="22"/>
                <w:szCs w:val="22"/>
              </w:rPr>
              <w:t>James R Walsh</w:t>
            </w:r>
            <w:r w:rsidRPr="00824EE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1,2,3</w:t>
            </w:r>
            <w:r w:rsidRPr="00824EE9">
              <w:rPr>
                <w:rFonts w:ascii="Arial" w:hAnsi="Arial" w:cs="Arial"/>
                <w:bCs/>
                <w:sz w:val="22"/>
                <w:szCs w:val="22"/>
              </w:rPr>
              <w:t>, Nadia Nestor</w:t>
            </w:r>
            <w:r w:rsidR="001F1D0D" w:rsidRPr="001F1D0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  <w:r w:rsidRPr="00824EE9">
              <w:rPr>
                <w:rFonts w:ascii="Arial" w:hAnsi="Arial" w:cs="Arial"/>
                <w:bCs/>
                <w:sz w:val="22"/>
                <w:szCs w:val="22"/>
              </w:rPr>
              <w:t xml:space="preserve">, Morgan </w:t>
            </w:r>
            <w:r w:rsidR="0042236A">
              <w:rPr>
                <w:rFonts w:ascii="Arial" w:hAnsi="Arial" w:cs="Arial"/>
                <w:bCs/>
                <w:sz w:val="22"/>
                <w:szCs w:val="22"/>
              </w:rPr>
              <w:t>Senes</w:t>
            </w:r>
            <w:r w:rsidR="0042236A" w:rsidRPr="0042236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  <w:r w:rsidRPr="00824EE9">
              <w:rPr>
                <w:rFonts w:ascii="Arial" w:hAnsi="Arial" w:cs="Arial"/>
                <w:bCs/>
                <w:sz w:val="22"/>
                <w:szCs w:val="22"/>
              </w:rPr>
              <w:t>, Norman R Morris</w:t>
            </w:r>
            <w:r w:rsidRPr="00824EE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2,3</w:t>
            </w:r>
            <w:r w:rsidRPr="00824EE9">
              <w:rPr>
                <w:rFonts w:ascii="Arial" w:hAnsi="Arial" w:cs="Arial"/>
                <w:bCs/>
                <w:sz w:val="22"/>
                <w:szCs w:val="22"/>
              </w:rPr>
              <w:t>, and Peter MA Hopkins</w:t>
            </w:r>
            <w:r w:rsidRPr="00824EE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1,4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00ADA9" w14:textId="77777777" w:rsidR="001C7FE5" w:rsidRPr="00824EE9" w:rsidRDefault="001C7FE5" w:rsidP="001C7FE5">
            <w:pPr>
              <w:jc w:val="both"/>
              <w:rPr>
                <w:rFonts w:ascii="Arial" w:hAnsi="Arial" w:cs="Arial"/>
                <w:i/>
                <w:sz w:val="22"/>
                <w:szCs w:val="21"/>
              </w:rPr>
            </w:pPr>
            <w:r w:rsidRPr="00824EE9">
              <w:rPr>
                <w:rFonts w:ascii="Arial" w:hAnsi="Arial" w:cs="Arial"/>
                <w:i/>
                <w:sz w:val="22"/>
                <w:szCs w:val="21"/>
                <w:vertAlign w:val="superscript"/>
              </w:rPr>
              <w:t>1</w:t>
            </w:r>
            <w:r w:rsidRPr="00824EE9">
              <w:rPr>
                <w:rFonts w:ascii="Arial" w:hAnsi="Arial" w:cs="Arial"/>
                <w:i/>
                <w:sz w:val="22"/>
                <w:szCs w:val="21"/>
              </w:rPr>
              <w:t>Queensland Lung Transplant Service, The Prince Charles Hospital, Brisbane, Australia</w:t>
            </w:r>
          </w:p>
          <w:p w14:paraId="461303E9" w14:textId="77777777" w:rsidR="001C7FE5" w:rsidRPr="00824EE9" w:rsidRDefault="001C7FE5" w:rsidP="001C7FE5">
            <w:pPr>
              <w:jc w:val="both"/>
              <w:rPr>
                <w:rFonts w:ascii="Arial" w:hAnsi="Arial" w:cs="Arial"/>
                <w:i/>
                <w:sz w:val="22"/>
                <w:szCs w:val="21"/>
              </w:rPr>
            </w:pPr>
            <w:r w:rsidRPr="00824EE9">
              <w:rPr>
                <w:rFonts w:ascii="Arial" w:hAnsi="Arial" w:cs="Arial"/>
                <w:i/>
                <w:sz w:val="22"/>
                <w:szCs w:val="21"/>
                <w:vertAlign w:val="superscript"/>
              </w:rPr>
              <w:t>2</w:t>
            </w:r>
            <w:r w:rsidRPr="00824EE9">
              <w:rPr>
                <w:rFonts w:ascii="Arial" w:hAnsi="Arial" w:cs="Arial"/>
                <w:i/>
                <w:sz w:val="22"/>
                <w:szCs w:val="21"/>
              </w:rPr>
              <w:t>Allied Health Research Collaborative, The Prince Charles Hospital, Brisbane, Australia</w:t>
            </w:r>
          </w:p>
          <w:p w14:paraId="6289E17A" w14:textId="77777777" w:rsidR="001C7FE5" w:rsidRPr="00824EE9" w:rsidRDefault="001C7FE5" w:rsidP="001C7FE5">
            <w:pPr>
              <w:jc w:val="both"/>
              <w:rPr>
                <w:rFonts w:ascii="Arial" w:hAnsi="Arial" w:cs="Arial"/>
                <w:i/>
                <w:sz w:val="22"/>
                <w:szCs w:val="21"/>
              </w:rPr>
            </w:pPr>
            <w:r w:rsidRPr="00824EE9">
              <w:rPr>
                <w:rFonts w:ascii="Arial" w:hAnsi="Arial" w:cs="Arial"/>
                <w:i/>
                <w:sz w:val="22"/>
                <w:szCs w:val="21"/>
                <w:vertAlign w:val="superscript"/>
              </w:rPr>
              <w:t>3</w:t>
            </w:r>
            <w:r w:rsidRPr="00824EE9">
              <w:rPr>
                <w:rFonts w:ascii="Arial" w:hAnsi="Arial" w:cs="Arial"/>
                <w:i/>
                <w:sz w:val="22"/>
                <w:szCs w:val="21"/>
              </w:rPr>
              <w:t>School of Allied Health Sciences, Griffith University, Gold Coast, Australia</w:t>
            </w:r>
          </w:p>
          <w:p w14:paraId="45ED36BF" w14:textId="1B8643B7" w:rsidR="001564A4" w:rsidRPr="001C7FE5" w:rsidRDefault="001C7FE5" w:rsidP="001C7FE5">
            <w:pPr>
              <w:jc w:val="both"/>
              <w:rPr>
                <w:rFonts w:ascii="Arial" w:hAnsi="Arial" w:cs="Arial"/>
                <w:i/>
                <w:sz w:val="22"/>
                <w:szCs w:val="21"/>
                <w:vertAlign w:val="superscript"/>
              </w:rPr>
            </w:pPr>
            <w:r w:rsidRPr="00824EE9">
              <w:rPr>
                <w:rFonts w:ascii="Arial" w:hAnsi="Arial" w:cs="Arial"/>
                <w:i/>
                <w:sz w:val="22"/>
                <w:szCs w:val="21"/>
                <w:vertAlign w:val="superscript"/>
              </w:rPr>
              <w:t>4</w:t>
            </w:r>
            <w:r w:rsidRPr="00824EE9">
              <w:rPr>
                <w:rFonts w:ascii="Arial" w:hAnsi="Arial" w:cs="Arial"/>
                <w:i/>
                <w:sz w:val="22"/>
                <w:szCs w:val="21"/>
              </w:rPr>
              <w:t>School of Medicine, The University of Queensland, Brisbane, Australia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21352CFF" w14:textId="2ECDB31B" w:rsidR="001C7FE5" w:rsidRPr="00824EE9" w:rsidRDefault="001564A4" w:rsidP="001C7FE5">
            <w:pPr>
              <w:pStyle w:val="Pa12"/>
              <w:spacing w:line="240" w:lineRule="auto"/>
              <w:rPr>
                <w:color w:val="000000"/>
                <w:sz w:val="22"/>
                <w:szCs w:val="22"/>
                <w:highlight w:val="yellow"/>
                <w:lang w:val="en-AU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Pulmonary rehabilitation </w:t>
            </w:r>
            <w:r w:rsidR="00F16D74">
              <w:rPr>
                <w:color w:val="000000"/>
                <w:sz w:val="22"/>
                <w:szCs w:val="22"/>
                <w:lang w:val="en-AU"/>
              </w:rPr>
              <w:t xml:space="preserve">(PR) 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is essential for lung transplant candidates to optimise functional status and rehabilitation recovery potential. Telerehabilitation </w:t>
            </w:r>
            <w:r w:rsidR="00BA0D9B">
              <w:rPr>
                <w:color w:val="000000"/>
                <w:sz w:val="22"/>
                <w:szCs w:val="22"/>
                <w:lang w:val="en-AU"/>
              </w:rPr>
              <w:t>(</w:t>
            </w:r>
            <w:proofErr w:type="spellStart"/>
            <w:r w:rsidR="00BA0D9B">
              <w:rPr>
                <w:color w:val="000000"/>
                <w:sz w:val="22"/>
                <w:szCs w:val="22"/>
                <w:lang w:val="en-AU"/>
              </w:rPr>
              <w:t>Telerehab</w:t>
            </w:r>
            <w:proofErr w:type="spellEnd"/>
            <w:r w:rsidR="00BA0D9B">
              <w:rPr>
                <w:color w:val="000000"/>
                <w:sz w:val="22"/>
                <w:szCs w:val="22"/>
                <w:lang w:val="en-AU"/>
              </w:rPr>
              <w:t xml:space="preserve">) 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>offer</w:t>
            </w:r>
            <w:r w:rsidR="001C7FE5">
              <w:rPr>
                <w:color w:val="000000"/>
                <w:sz w:val="22"/>
                <w:szCs w:val="22"/>
                <w:lang w:val="en-AU"/>
              </w:rPr>
              <w:t>s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 a</w:t>
            </w:r>
            <w:r w:rsidR="00B265E0">
              <w:rPr>
                <w:color w:val="000000"/>
                <w:sz w:val="22"/>
                <w:szCs w:val="22"/>
                <w:lang w:val="en-AU"/>
              </w:rPr>
              <w:t xml:space="preserve">n alternative delivery mode designed to </w:t>
            </w:r>
            <w:r w:rsidR="00302ED0" w:rsidRPr="00824EE9">
              <w:rPr>
                <w:color w:val="000000"/>
                <w:sz w:val="22"/>
                <w:szCs w:val="22"/>
                <w:lang w:val="en-AU"/>
              </w:rPr>
              <w:t>improve program access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. </w:t>
            </w:r>
            <w:r w:rsidR="001C7FE5">
              <w:rPr>
                <w:color w:val="000000"/>
                <w:sz w:val="22"/>
                <w:szCs w:val="22"/>
                <w:lang w:val="en-AU"/>
              </w:rPr>
              <w:t>T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he aim was to compare </w:t>
            </w:r>
            <w:r w:rsidR="00BA0D9B">
              <w:rPr>
                <w:color w:val="000000"/>
                <w:sz w:val="22"/>
                <w:szCs w:val="22"/>
                <w:lang w:val="en-AU"/>
              </w:rPr>
              <w:t xml:space="preserve">participant </w:t>
            </w:r>
            <w:r w:rsidR="001C7FE5">
              <w:rPr>
                <w:color w:val="000000"/>
                <w:sz w:val="22"/>
                <w:szCs w:val="22"/>
                <w:lang w:val="en-AU"/>
              </w:rPr>
              <w:t>outcomes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 between home-based </w:t>
            </w:r>
            <w:proofErr w:type="spellStart"/>
            <w:r w:rsidR="00BA0D9B">
              <w:rPr>
                <w:color w:val="000000"/>
                <w:sz w:val="22"/>
                <w:szCs w:val="22"/>
                <w:lang w:val="en-AU"/>
              </w:rPr>
              <w:t>Telerehab</w:t>
            </w:r>
            <w:proofErr w:type="spellEnd"/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 and </w:t>
            </w:r>
            <w:r w:rsidR="001C7FE5" w:rsidRPr="00824EE9">
              <w:rPr>
                <w:sz w:val="22"/>
                <w:szCs w:val="22"/>
              </w:rPr>
              <w:t>hospital-based f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ace-to-face </w:t>
            </w:r>
            <w:r w:rsidR="00BA0D9B">
              <w:rPr>
                <w:color w:val="000000"/>
                <w:sz w:val="22"/>
                <w:szCs w:val="22"/>
                <w:lang w:val="en-AU"/>
              </w:rPr>
              <w:t xml:space="preserve">(F2F) 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exercise rehabilitation.  </w:t>
            </w:r>
          </w:p>
          <w:p w14:paraId="047C9ECD" w14:textId="5A16475E" w:rsidR="001C7FE5" w:rsidRPr="00824EE9" w:rsidRDefault="001564A4" w:rsidP="001C7FE5">
            <w:pPr>
              <w:pStyle w:val="Pa1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1C7FE5" w:rsidRPr="00824EE9">
              <w:rPr>
                <w:rStyle w:val="A4"/>
                <w:bCs/>
              </w:rPr>
              <w:t xml:space="preserve">A prospective observational repeated measures design was used. </w:t>
            </w:r>
            <w:r w:rsidR="001C7FE5" w:rsidRPr="00824EE9">
              <w:rPr>
                <w:sz w:val="22"/>
                <w:szCs w:val="22"/>
              </w:rPr>
              <w:t xml:space="preserve">All lung transplant candidates who attended &gt;4 weeks of either </w:t>
            </w:r>
            <w:proofErr w:type="spellStart"/>
            <w:r w:rsidR="00F16D74">
              <w:rPr>
                <w:color w:val="000000"/>
                <w:sz w:val="22"/>
                <w:szCs w:val="22"/>
                <w:lang w:val="en-AU"/>
              </w:rPr>
              <w:t>Telerehab</w:t>
            </w:r>
            <w:proofErr w:type="spellEnd"/>
            <w:r w:rsidR="001C7FE5" w:rsidRPr="00824EE9">
              <w:rPr>
                <w:sz w:val="22"/>
                <w:szCs w:val="22"/>
              </w:rPr>
              <w:t xml:space="preserve"> or </w:t>
            </w:r>
            <w:r w:rsidR="00BA0D9B">
              <w:rPr>
                <w:sz w:val="22"/>
                <w:szCs w:val="22"/>
              </w:rPr>
              <w:t>F2F</w:t>
            </w:r>
            <w:r w:rsidR="001C7FE5" w:rsidRPr="00824EE9">
              <w:rPr>
                <w:sz w:val="22"/>
                <w:szCs w:val="22"/>
              </w:rPr>
              <w:t xml:space="preserve"> exercise rehabilitation between Apr 2020 and Oct 2023 at a single institution were included. </w:t>
            </w:r>
            <w:r w:rsidR="007940F9">
              <w:rPr>
                <w:sz w:val="22"/>
                <w:szCs w:val="22"/>
              </w:rPr>
              <w:t>The p</w:t>
            </w:r>
            <w:r w:rsidR="00F16D74">
              <w:rPr>
                <w:sz w:val="22"/>
                <w:szCs w:val="22"/>
              </w:rPr>
              <w:t>rogram model offered</w:t>
            </w:r>
            <w:r w:rsidR="00BA0D9B">
              <w:rPr>
                <w:sz w:val="22"/>
                <w:szCs w:val="22"/>
              </w:rPr>
              <w:t xml:space="preserve"> </w:t>
            </w:r>
            <w:r w:rsidR="0042236A">
              <w:rPr>
                <w:sz w:val="22"/>
                <w:szCs w:val="22"/>
              </w:rPr>
              <w:t xml:space="preserve">was </w:t>
            </w:r>
            <w:r w:rsidR="00BA0D9B">
              <w:rPr>
                <w:sz w:val="22"/>
                <w:szCs w:val="22"/>
              </w:rPr>
              <w:t>limited by</w:t>
            </w:r>
            <w:r w:rsidR="0042236A">
              <w:rPr>
                <w:sz w:val="22"/>
                <w:szCs w:val="22"/>
              </w:rPr>
              <w:t xml:space="preserve"> geography, logistics and </w:t>
            </w:r>
            <w:r w:rsidR="00CD56BF">
              <w:rPr>
                <w:sz w:val="22"/>
                <w:szCs w:val="22"/>
              </w:rPr>
              <w:t>COVID</w:t>
            </w:r>
            <w:r w:rsidR="00BA0D9B">
              <w:rPr>
                <w:sz w:val="22"/>
                <w:szCs w:val="22"/>
              </w:rPr>
              <w:t>-</w:t>
            </w:r>
            <w:r w:rsidR="00CD56BF">
              <w:rPr>
                <w:sz w:val="22"/>
                <w:szCs w:val="22"/>
              </w:rPr>
              <w:t>19 restrictions</w:t>
            </w:r>
            <w:r w:rsidR="0042236A">
              <w:rPr>
                <w:sz w:val="22"/>
                <w:szCs w:val="22"/>
              </w:rPr>
              <w:t>. E</w:t>
            </w:r>
            <w:r w:rsidR="001C7FE5" w:rsidRPr="00824EE9">
              <w:rPr>
                <w:sz w:val="22"/>
                <w:szCs w:val="22"/>
              </w:rPr>
              <w:t xml:space="preserve">xercise </w:t>
            </w:r>
            <w:r w:rsidR="001C7FE5">
              <w:rPr>
                <w:sz w:val="22"/>
                <w:szCs w:val="22"/>
              </w:rPr>
              <w:t>rehabilitation</w:t>
            </w:r>
            <w:r w:rsidR="001C7FE5" w:rsidRPr="00824EE9">
              <w:rPr>
                <w:sz w:val="22"/>
                <w:szCs w:val="22"/>
              </w:rPr>
              <w:t xml:space="preserve"> focused on lower limb strengthening and </w:t>
            </w:r>
            <w:r w:rsidR="0042236A">
              <w:rPr>
                <w:sz w:val="22"/>
                <w:szCs w:val="22"/>
              </w:rPr>
              <w:t xml:space="preserve">maintaining </w:t>
            </w:r>
            <w:r w:rsidR="001C7FE5" w:rsidRPr="00824EE9">
              <w:rPr>
                <w:sz w:val="22"/>
                <w:szCs w:val="22"/>
              </w:rPr>
              <w:t xml:space="preserve">aerobic </w:t>
            </w:r>
            <w:r w:rsidR="0042236A">
              <w:rPr>
                <w:sz w:val="22"/>
                <w:szCs w:val="22"/>
              </w:rPr>
              <w:t>capacity</w:t>
            </w:r>
            <w:r w:rsidR="001C7FE5" w:rsidRPr="00824EE9">
              <w:rPr>
                <w:sz w:val="22"/>
                <w:szCs w:val="22"/>
              </w:rPr>
              <w:t xml:space="preserve">. </w:t>
            </w:r>
            <w:r w:rsidR="00B265E0">
              <w:rPr>
                <w:sz w:val="22"/>
                <w:szCs w:val="22"/>
              </w:rPr>
              <w:t xml:space="preserve">Outcomes included </w:t>
            </w:r>
            <w:r w:rsidR="000A7AF7">
              <w:rPr>
                <w:sz w:val="22"/>
                <w:szCs w:val="22"/>
              </w:rPr>
              <w:t>s</w:t>
            </w:r>
            <w:r w:rsidR="000A7AF7" w:rsidRPr="00824EE9">
              <w:rPr>
                <w:sz w:val="22"/>
                <w:szCs w:val="22"/>
              </w:rPr>
              <w:t>ix</w:t>
            </w:r>
            <w:r w:rsidR="001C7FE5" w:rsidRPr="00824EE9">
              <w:rPr>
                <w:sz w:val="22"/>
                <w:szCs w:val="22"/>
              </w:rPr>
              <w:t xml:space="preserve">-minute walk distance (6MWD), and quadriceps strength corrected for body weight (QS%) assessed pre- and 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post-program. </w:t>
            </w:r>
          </w:p>
          <w:p w14:paraId="68537800" w14:textId="3966554D" w:rsidR="001564A4" w:rsidRPr="00BA0D9B" w:rsidRDefault="001564A4" w:rsidP="000A28E2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1C7FE5" w:rsidRPr="00824EE9">
              <w:rPr>
                <w:rStyle w:val="A4"/>
                <w:bCs/>
              </w:rPr>
              <w:t xml:space="preserve">27 </w:t>
            </w:r>
            <w:proofErr w:type="spellStart"/>
            <w:r w:rsidR="00F16D74">
              <w:rPr>
                <w:color w:val="000000"/>
                <w:sz w:val="22"/>
                <w:szCs w:val="22"/>
                <w:lang w:val="en-AU"/>
              </w:rPr>
              <w:t>Telerehab</w:t>
            </w:r>
            <w:proofErr w:type="spellEnd"/>
            <w:r w:rsidR="001C7FE5" w:rsidRPr="00824EE9">
              <w:rPr>
                <w:rStyle w:val="A4"/>
                <w:bCs/>
              </w:rPr>
              <w:t xml:space="preserve"> (13 male, mean</w:t>
            </w:r>
            <w:r w:rsidR="00AA46B1">
              <w:rPr>
                <w:rStyle w:val="A4"/>
                <w:bCs/>
              </w:rPr>
              <w:t xml:space="preserve"> (</w:t>
            </w:r>
            <w:r w:rsidR="00AA46B1" w:rsidRPr="00824EE9">
              <w:rPr>
                <w:rStyle w:val="A4"/>
                <w:bCs/>
              </w:rPr>
              <w:t>±</w:t>
            </w:r>
            <w:r w:rsidR="00AA46B1">
              <w:rPr>
                <w:rStyle w:val="A4"/>
                <w:bCs/>
              </w:rPr>
              <w:t>SD)</w:t>
            </w:r>
            <w:r w:rsidR="001C7FE5" w:rsidRPr="00824EE9">
              <w:rPr>
                <w:rStyle w:val="A4"/>
                <w:bCs/>
              </w:rPr>
              <w:t xml:space="preserve"> age 60</w:t>
            </w:r>
            <w:r w:rsidR="00AA46B1">
              <w:rPr>
                <w:rStyle w:val="A4"/>
                <w:bCs/>
              </w:rPr>
              <w:t xml:space="preserve"> </w:t>
            </w:r>
            <w:r w:rsidR="001C7FE5" w:rsidRPr="00824EE9">
              <w:rPr>
                <w:rStyle w:val="A4"/>
                <w:bCs/>
              </w:rPr>
              <w:t>±</w:t>
            </w:r>
            <w:r w:rsidR="00AA46B1">
              <w:rPr>
                <w:rStyle w:val="A4"/>
                <w:bCs/>
              </w:rPr>
              <w:t xml:space="preserve"> </w:t>
            </w:r>
            <w:r w:rsidR="001C7FE5" w:rsidRPr="00824EE9">
              <w:rPr>
                <w:rStyle w:val="A4"/>
                <w:bCs/>
              </w:rPr>
              <w:t xml:space="preserve">6 years; 15 chronic obstructive pulmonary disease (COPD), 7 </w:t>
            </w:r>
            <w:r w:rsidR="001C7FE5" w:rsidRPr="00824EE9">
              <w:rPr>
                <w:rFonts w:eastAsia="MS PGothic"/>
                <w:color w:val="000000"/>
                <w:kern w:val="24"/>
                <w:sz w:val="22"/>
                <w:szCs w:val="22"/>
              </w:rPr>
              <w:t>Idiopathic interstitial pneumonias (IIP</w:t>
            </w:r>
            <w:r w:rsidR="001C7FE5" w:rsidRPr="00824EE9">
              <w:rPr>
                <w:rStyle w:val="A4"/>
                <w:bCs/>
              </w:rPr>
              <w:t xml:space="preserve">), 5 other) and 38 </w:t>
            </w:r>
            <w:r w:rsidR="00BA0D9B">
              <w:rPr>
                <w:rStyle w:val="A4"/>
                <w:bCs/>
              </w:rPr>
              <w:t>F2F</w:t>
            </w:r>
            <w:r w:rsidR="001C7FE5" w:rsidRPr="00824EE9">
              <w:rPr>
                <w:rStyle w:val="A4"/>
                <w:bCs/>
              </w:rPr>
              <w:t xml:space="preserve"> participants (21 male, mean age 59</w:t>
            </w:r>
            <w:r w:rsidR="00AA46B1">
              <w:rPr>
                <w:rStyle w:val="A4"/>
                <w:bCs/>
              </w:rPr>
              <w:t xml:space="preserve"> </w:t>
            </w:r>
            <w:r w:rsidR="001C7FE5" w:rsidRPr="00824EE9">
              <w:rPr>
                <w:rStyle w:val="A4"/>
                <w:bCs/>
              </w:rPr>
              <w:t>±</w:t>
            </w:r>
            <w:r w:rsidR="00AA46B1">
              <w:rPr>
                <w:rStyle w:val="A4"/>
                <w:bCs/>
              </w:rPr>
              <w:t xml:space="preserve"> </w:t>
            </w:r>
            <w:r w:rsidR="001C7FE5" w:rsidRPr="00824EE9">
              <w:rPr>
                <w:rStyle w:val="A4"/>
                <w:bCs/>
              </w:rPr>
              <w:t xml:space="preserve">7 years; 20 COPD, 12 </w:t>
            </w:r>
            <w:r w:rsidR="001C7FE5" w:rsidRPr="00824EE9">
              <w:rPr>
                <w:rFonts w:eastAsia="MS PGothic"/>
                <w:color w:val="000000"/>
                <w:kern w:val="24"/>
                <w:sz w:val="22"/>
                <w:szCs w:val="22"/>
              </w:rPr>
              <w:t>IIP</w:t>
            </w:r>
            <w:r w:rsidR="001C7FE5" w:rsidRPr="00824EE9">
              <w:rPr>
                <w:rStyle w:val="A4"/>
                <w:bCs/>
              </w:rPr>
              <w:t>, 6 other) were studied. These cohorts were not significantly different</w:t>
            </w:r>
            <w:r w:rsidR="00F16D74">
              <w:rPr>
                <w:rStyle w:val="A4"/>
                <w:bCs/>
              </w:rPr>
              <w:t xml:space="preserve"> </w:t>
            </w:r>
            <w:r w:rsidR="001C7FE5" w:rsidRPr="00824EE9">
              <w:rPr>
                <w:rStyle w:val="A4"/>
                <w:bCs/>
              </w:rPr>
              <w:t>in age, respiratory function</w:t>
            </w:r>
            <w:r w:rsidR="007940F9">
              <w:rPr>
                <w:rStyle w:val="A4"/>
                <w:bCs/>
              </w:rPr>
              <w:t>, exercise induced desaturation or supplementary oxygen used</w:t>
            </w:r>
            <w:r w:rsidR="001C7FE5" w:rsidRPr="00824EE9">
              <w:rPr>
                <w:rStyle w:val="A4"/>
                <w:bCs/>
              </w:rPr>
              <w:t xml:space="preserve">. </w:t>
            </w:r>
            <w:r w:rsidR="00BA0D9B">
              <w:rPr>
                <w:rStyle w:val="A4"/>
                <w:bCs/>
              </w:rPr>
              <w:t>17 (63%)</w:t>
            </w:r>
            <w:r w:rsidR="00F16D74">
              <w:rPr>
                <w:lang w:val="en-AU"/>
              </w:rPr>
              <w:t xml:space="preserve"> </w:t>
            </w:r>
            <w:proofErr w:type="spellStart"/>
            <w:r w:rsidR="00F16D74">
              <w:rPr>
                <w:color w:val="000000"/>
                <w:sz w:val="22"/>
                <w:szCs w:val="22"/>
                <w:lang w:val="en-AU"/>
              </w:rPr>
              <w:t>Telerehab</w:t>
            </w:r>
            <w:proofErr w:type="spellEnd"/>
            <w:r w:rsidR="00BA0D9B">
              <w:rPr>
                <w:rStyle w:val="A4"/>
                <w:bCs/>
              </w:rPr>
              <w:t xml:space="preserve"> and 24 (63%) F2F participants had competed PR locally prior to study commencement. </w:t>
            </w:r>
            <w:r w:rsidR="001C7FE5" w:rsidRPr="00824EE9">
              <w:rPr>
                <w:rStyle w:val="A4"/>
                <w:bCs/>
              </w:rPr>
              <w:t>Both cohorts improved in QS% (</w:t>
            </w:r>
            <w:proofErr w:type="spellStart"/>
            <w:r w:rsidR="00F16D74">
              <w:rPr>
                <w:color w:val="000000"/>
                <w:sz w:val="22"/>
                <w:szCs w:val="22"/>
                <w:lang w:val="en-AU"/>
              </w:rPr>
              <w:t>Telerehab</w:t>
            </w:r>
            <w:proofErr w:type="spellEnd"/>
            <w:r w:rsidR="001C7FE5" w:rsidRPr="00824EE9">
              <w:rPr>
                <w:rStyle w:val="A4"/>
                <w:bCs/>
              </w:rPr>
              <w:t xml:space="preserve"> 8.2% p=0.001 versus </w:t>
            </w:r>
            <w:r w:rsidR="00BA0D9B">
              <w:rPr>
                <w:rStyle w:val="A4"/>
                <w:bCs/>
              </w:rPr>
              <w:t>F2F</w:t>
            </w:r>
            <w:r w:rsidR="001C7FE5" w:rsidRPr="00824EE9">
              <w:rPr>
                <w:rStyle w:val="A4"/>
                <w:bCs/>
              </w:rPr>
              <w:t xml:space="preserve"> 11.5% p&lt;0.001) with these increases not significantly different between program models (p=0.359).</w:t>
            </w:r>
            <w:r w:rsidR="00F16D74" w:rsidRPr="00824EE9">
              <w:rPr>
                <w:rStyle w:val="A4"/>
                <w:bCs/>
              </w:rPr>
              <w:t xml:space="preserve"> </w:t>
            </w:r>
            <w:r w:rsidR="007940F9" w:rsidRPr="00824EE9">
              <w:rPr>
                <w:rStyle w:val="A4"/>
                <w:bCs/>
              </w:rPr>
              <w:t xml:space="preserve">6MWD </w:t>
            </w:r>
            <w:r w:rsidR="007940F9">
              <w:rPr>
                <w:rStyle w:val="A4"/>
                <w:bCs/>
              </w:rPr>
              <w:t xml:space="preserve">was maintained in both cohorts </w:t>
            </w:r>
            <w:r w:rsidR="007940F9" w:rsidRPr="00824EE9">
              <w:rPr>
                <w:rStyle w:val="A4"/>
                <w:bCs/>
              </w:rPr>
              <w:t>(</w:t>
            </w:r>
            <w:proofErr w:type="spellStart"/>
            <w:r w:rsidR="007940F9">
              <w:rPr>
                <w:color w:val="000000"/>
                <w:sz w:val="22"/>
                <w:szCs w:val="22"/>
                <w:lang w:val="en-AU"/>
              </w:rPr>
              <w:t>Telerehab</w:t>
            </w:r>
            <w:proofErr w:type="spellEnd"/>
            <w:r w:rsidR="007940F9" w:rsidRPr="00824EE9">
              <w:rPr>
                <w:rStyle w:val="A4"/>
                <w:bCs/>
              </w:rPr>
              <w:t xml:space="preserve"> -18m p=0.307 versus </w:t>
            </w:r>
            <w:r w:rsidR="007940F9">
              <w:rPr>
                <w:rStyle w:val="A4"/>
                <w:bCs/>
              </w:rPr>
              <w:t>F2F</w:t>
            </w:r>
            <w:r w:rsidR="007940F9" w:rsidRPr="00824EE9">
              <w:rPr>
                <w:rStyle w:val="A4"/>
                <w:bCs/>
              </w:rPr>
              <w:t xml:space="preserve"> -14.9m p=0.215)</w:t>
            </w:r>
            <w:r w:rsidR="00302ED0">
              <w:rPr>
                <w:rStyle w:val="A4"/>
                <w:bCs/>
              </w:rPr>
              <w:t xml:space="preserve"> with no significant difference between models (p=0.874)</w:t>
            </w:r>
            <w:r w:rsidR="00A73C58">
              <w:rPr>
                <w:rStyle w:val="A4"/>
                <w:bCs/>
              </w:rPr>
              <w:t xml:space="preserve">. </w:t>
            </w:r>
            <w:r w:rsidR="007940F9" w:rsidRPr="00824EE9">
              <w:rPr>
                <w:rStyle w:val="A4"/>
                <w:bCs/>
              </w:rPr>
              <w:t xml:space="preserve">No adverse </w:t>
            </w:r>
            <w:r w:rsidR="007940F9">
              <w:rPr>
                <w:rStyle w:val="A4"/>
                <w:bCs/>
              </w:rPr>
              <w:t xml:space="preserve">training </w:t>
            </w:r>
            <w:r w:rsidR="007940F9" w:rsidRPr="00824EE9">
              <w:rPr>
                <w:rStyle w:val="A4"/>
                <w:bCs/>
              </w:rPr>
              <w:t>responses were reported.</w:t>
            </w:r>
          </w:p>
          <w:p w14:paraId="6673D7E6" w14:textId="77777777" w:rsidR="001C7FE5" w:rsidRDefault="001564A4" w:rsidP="001C7FE5">
            <w:pPr>
              <w:pStyle w:val="Pa12"/>
              <w:rPr>
                <w:bCs/>
                <w:color w:val="000000"/>
                <w:sz w:val="22"/>
                <w:szCs w:val="22"/>
                <w:lang w:val="en-GB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1C7FE5" w:rsidRPr="00824EE9">
              <w:rPr>
                <w:bCs/>
                <w:color w:val="000000"/>
                <w:sz w:val="22"/>
                <w:szCs w:val="22"/>
                <w:lang w:val="en-GB"/>
              </w:rPr>
              <w:t xml:space="preserve">Home-based telerehabilitation provided a similar benefit to the hospital-based face-to-face </w:t>
            </w:r>
            <w:r w:rsidR="001C7FE5" w:rsidRPr="00824EE9">
              <w:rPr>
                <w:color w:val="000000"/>
                <w:sz w:val="22"/>
                <w:szCs w:val="22"/>
                <w:lang w:val="en-AU"/>
              </w:rPr>
              <w:t xml:space="preserve">exercise rehabilitation in lung transplant candidates with </w:t>
            </w:r>
            <w:r w:rsidR="001C7FE5" w:rsidRPr="00824EE9">
              <w:rPr>
                <w:bCs/>
                <w:color w:val="000000"/>
                <w:sz w:val="22"/>
                <w:szCs w:val="22"/>
                <w:lang w:val="en-GB"/>
              </w:rPr>
              <w:t>both program models achieving similar improvements in quadriceps strength.</w:t>
            </w:r>
          </w:p>
          <w:p w14:paraId="3FDCBD6E" w14:textId="700AB94E" w:rsidR="001C7FE5" w:rsidRPr="001C7FE5" w:rsidRDefault="001564A4" w:rsidP="001C7FE5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1C7FE5" w:rsidRPr="001C7FE5">
              <w:rPr>
                <w:sz w:val="22"/>
                <w:szCs w:val="22"/>
              </w:rPr>
              <w:t>Healthcare Improvement Unit</w:t>
            </w:r>
            <w:r w:rsidR="001C7FE5">
              <w:rPr>
                <w:sz w:val="22"/>
                <w:szCs w:val="22"/>
              </w:rPr>
              <w:t>, Clinical Excellence Queensland</w:t>
            </w:r>
            <w:r w:rsidR="001C7FE5">
              <w:rPr>
                <w:rFonts w:ascii="CIDFont+F6" w:hAnsi="CIDFont+F6"/>
                <w:sz w:val="22"/>
                <w:szCs w:val="22"/>
              </w:rPr>
              <w:t xml:space="preserve"> </w:t>
            </w:r>
          </w:p>
          <w:p w14:paraId="3E8B4283" w14:textId="125BF31D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A7AF7"/>
    <w:rsid w:val="001564A4"/>
    <w:rsid w:val="001C7FE5"/>
    <w:rsid w:val="001D5076"/>
    <w:rsid w:val="001F1D0D"/>
    <w:rsid w:val="002A6262"/>
    <w:rsid w:val="00302ED0"/>
    <w:rsid w:val="0042236A"/>
    <w:rsid w:val="0051574E"/>
    <w:rsid w:val="007940F9"/>
    <w:rsid w:val="007B04AC"/>
    <w:rsid w:val="008803FA"/>
    <w:rsid w:val="00A73C58"/>
    <w:rsid w:val="00AA46B1"/>
    <w:rsid w:val="00AF385B"/>
    <w:rsid w:val="00B12E32"/>
    <w:rsid w:val="00B265E0"/>
    <w:rsid w:val="00BA0D9B"/>
    <w:rsid w:val="00C71F61"/>
    <w:rsid w:val="00CD56BF"/>
    <w:rsid w:val="00E0700F"/>
    <w:rsid w:val="00F1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1C7FE5"/>
    <w:pPr>
      <w:spacing w:before="100" w:beforeAutospacing="1" w:after="100" w:afterAutospacing="1"/>
    </w:pPr>
    <w:rPr>
      <w:lang w:val="en-AU" w:eastAsia="en-GB"/>
    </w:rPr>
  </w:style>
  <w:style w:type="paragraph" w:styleId="Revision">
    <w:name w:val="Revision"/>
    <w:hidden/>
    <w:uiPriority w:val="99"/>
    <w:semiHidden/>
    <w:rsid w:val="00B265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26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5E0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E0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James Walsh</cp:lastModifiedBy>
  <cp:revision>2</cp:revision>
  <dcterms:created xsi:type="dcterms:W3CDTF">2023-10-18T05:40:00Z</dcterms:created>
  <dcterms:modified xsi:type="dcterms:W3CDTF">2023-10-18T05:40:00Z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