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76FCAA0F" w:rsidR="001564A4" w:rsidRPr="0050053A" w:rsidRDefault="00EA088F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Third-hand E-Cigarette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Vapour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Exposure Causes Pulmonary Effects in Mice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6D67E504" w:rsidR="001564A4" w:rsidRPr="00413B94" w:rsidRDefault="00EA088F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Andrew E. Thorpe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Chantal Donovan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1,2,3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Richard Kim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1,2,3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Howard Vindin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2,4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Razia Zakayra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1,5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Hanna Miyayi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Yik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L. Chan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David Van Reyk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Hui Chen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Brian G.G. Oliver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</w:p>
        </w:tc>
      </w:tr>
      <w:tr w:rsidR="00EA088F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464A032" w14:textId="77777777" w:rsidR="00EA088F" w:rsidRPr="00C3420A" w:rsidRDefault="00EA088F" w:rsidP="00EA088F">
            <w:pPr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  <w:lang w:val="en-AU"/>
              </w:rPr>
            </w:pPr>
            <w:r w:rsidRPr="00C3420A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</w:t>
            </w:r>
            <w:r w:rsidRPr="00C3420A">
              <w:rPr>
                <w:rFonts w:ascii="Arial" w:hAnsi="Arial" w:cs="Arial"/>
                <w:color w:val="222222"/>
                <w:sz w:val="18"/>
                <w:szCs w:val="18"/>
              </w:rPr>
              <w:t>School of Life Sciences, Faculty of Science, University of Technology Sydney, Sydney, NSW 2007, Australia</w:t>
            </w:r>
          </w:p>
          <w:p w14:paraId="63626665" w14:textId="77777777" w:rsidR="00EA088F" w:rsidRPr="00C3420A" w:rsidRDefault="00EA088F" w:rsidP="00EA088F">
            <w:pPr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C3420A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2</w:t>
            </w:r>
            <w:r w:rsidRPr="00C3420A">
              <w:rPr>
                <w:rFonts w:ascii="Arial" w:hAnsi="Arial" w:cs="Arial"/>
                <w:color w:val="222222"/>
                <w:sz w:val="18"/>
                <w:szCs w:val="18"/>
              </w:rPr>
              <w:t>Respiratory Cellular and Molecular Biology, Woolcock Institute of Medical Research, Macquarie University, Glebe, NSW 2037, Australia</w:t>
            </w:r>
          </w:p>
          <w:p w14:paraId="50FF0E6D" w14:textId="77777777" w:rsidR="00EA088F" w:rsidRPr="00C3420A" w:rsidRDefault="00EA088F" w:rsidP="00EA088F">
            <w:pPr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C3420A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3</w:t>
            </w:r>
            <w:r w:rsidRPr="00C3420A">
              <w:rPr>
                <w:rFonts w:ascii="Arial" w:hAnsi="Arial" w:cs="Arial"/>
                <w:color w:val="222222"/>
                <w:sz w:val="18"/>
                <w:szCs w:val="18"/>
              </w:rPr>
              <w:t>Immune Health Program, Hunter Medical Research Institute, University of Newcastle, Newcastle, NSW 2000, Australia</w:t>
            </w:r>
          </w:p>
          <w:p w14:paraId="63D94E5A" w14:textId="77777777" w:rsidR="00EA088F" w:rsidRPr="00C3420A" w:rsidRDefault="00EA088F" w:rsidP="00EA088F">
            <w:pPr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C3420A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4</w:t>
            </w:r>
            <w:r w:rsidRPr="00C3420A">
              <w:rPr>
                <w:rFonts w:ascii="Arial" w:hAnsi="Arial" w:cs="Arial"/>
                <w:color w:val="222222"/>
                <w:sz w:val="18"/>
                <w:szCs w:val="18"/>
              </w:rPr>
              <w:t>School of Life and Environmental Sciences, Faculty of Science, Charles Perkins Centre, The University of Sydney, Sydney, NSW 2006, Australia</w:t>
            </w:r>
          </w:p>
          <w:p w14:paraId="45ED36BF" w14:textId="229FBBF9" w:rsidR="00EA088F" w:rsidRPr="0050053A" w:rsidRDefault="00EA088F" w:rsidP="00EA088F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C3420A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5</w:t>
            </w:r>
            <w:r w:rsidRPr="00C3420A">
              <w:rPr>
                <w:rFonts w:ascii="Arial" w:hAnsi="Arial" w:cs="Arial"/>
                <w:color w:val="222222"/>
                <w:sz w:val="18"/>
                <w:szCs w:val="18"/>
              </w:rPr>
              <w:t>Epigenetics of Chronic Disease, Woolcock Institute of Medical Research, Macquarie University, Glebe, NSW 2037, Australia</w:t>
            </w:r>
          </w:p>
        </w:tc>
      </w:tr>
      <w:tr w:rsidR="00EA088F" w:rsidRPr="0050053A" w14:paraId="6DAF615A" w14:textId="77777777" w:rsidTr="00EA088F">
        <w:trPr>
          <w:trHeight w:hRule="exact" w:val="9505"/>
          <w:jc w:val="center"/>
        </w:trPr>
        <w:tc>
          <w:tcPr>
            <w:tcW w:w="8640" w:type="dxa"/>
            <w:shd w:val="clear" w:color="auto" w:fill="auto"/>
          </w:tcPr>
          <w:p w14:paraId="0C0D9A1E" w14:textId="77777777" w:rsidR="00EA088F" w:rsidRPr="00C3420A" w:rsidRDefault="00EA088F" w:rsidP="00EA088F">
            <w:pPr>
              <w:pStyle w:val="Pa12"/>
              <w:rPr>
                <w:rStyle w:val="A4"/>
              </w:rPr>
            </w:pPr>
            <w:r w:rsidRPr="00C3420A">
              <w:rPr>
                <w:rStyle w:val="A4"/>
                <w:b/>
                <w:bCs/>
              </w:rPr>
              <w:t xml:space="preserve">Introduction/Aim: </w:t>
            </w:r>
          </w:p>
          <w:p w14:paraId="00DE243A" w14:textId="77777777" w:rsidR="00EA088F" w:rsidRPr="00C3420A" w:rsidRDefault="00EA088F" w:rsidP="00EA088F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the past decade, there have been an estimated 82 million e-cigarette users worldwide, representing a tremendous increase in e-cigarette popularity. Particularly in young children, third-hand exposure to e-cigarettes occurs as a result of chemical residues left behind on clothing and surfaces by e-cigarette aerosol. Due of their invisibility, very little is known about the health effects of long-term exposure to third-hand e-cigarette smoke, which was the purpose of this investigation.</w:t>
            </w:r>
          </w:p>
          <w:p w14:paraId="652088CE" w14:textId="77777777" w:rsidR="00EA088F" w:rsidRPr="00C3420A" w:rsidRDefault="00EA088F" w:rsidP="00EA088F">
            <w:pPr>
              <w:pStyle w:val="Pa12"/>
              <w:rPr>
                <w:rStyle w:val="A4"/>
                <w:bCs/>
              </w:rPr>
            </w:pPr>
          </w:p>
          <w:p w14:paraId="2C2D2878" w14:textId="77777777" w:rsidR="00EA088F" w:rsidRPr="00C3420A" w:rsidRDefault="00EA088F" w:rsidP="00EA088F">
            <w:pPr>
              <w:pStyle w:val="Pa12"/>
              <w:rPr>
                <w:rStyle w:val="A4"/>
                <w:b/>
                <w:bCs/>
              </w:rPr>
            </w:pPr>
            <w:r w:rsidRPr="00C3420A">
              <w:rPr>
                <w:rStyle w:val="A4"/>
                <w:b/>
                <w:bCs/>
              </w:rPr>
              <w:t xml:space="preserve">Methods: </w:t>
            </w:r>
          </w:p>
          <w:p w14:paraId="5B765C88" w14:textId="77777777" w:rsidR="00EA088F" w:rsidRPr="00C3420A" w:rsidRDefault="00EA088F" w:rsidP="00EA088F">
            <w:pPr>
              <w:pStyle w:val="Pa12"/>
              <w:rPr>
                <w:sz w:val="22"/>
                <w:szCs w:val="22"/>
              </w:rPr>
            </w:pPr>
            <w:r w:rsidRPr="00C3420A">
              <w:rPr>
                <w:sz w:val="22"/>
                <w:szCs w:val="22"/>
              </w:rPr>
              <w:t>Male BALB/c mice (4 weeks of age) were housed with a towel exposed to nicotine free (0mg/mL) or containing (18 mg/mL) e-vapours that were replaced daily for 4 weeks. At the endpoint, mice were subject to lung function testing. Lungs were collected for analysis.</w:t>
            </w:r>
          </w:p>
          <w:p w14:paraId="66C8BE8C" w14:textId="77777777" w:rsidR="00EA088F" w:rsidRPr="00C3420A" w:rsidRDefault="00EA088F" w:rsidP="00EA088F">
            <w:pPr>
              <w:pStyle w:val="Pa12"/>
              <w:rPr>
                <w:rStyle w:val="A4"/>
                <w:bCs/>
              </w:rPr>
            </w:pPr>
          </w:p>
          <w:p w14:paraId="3E42E557" w14:textId="77777777" w:rsidR="00EA088F" w:rsidRPr="00C3420A" w:rsidRDefault="00EA088F" w:rsidP="00EA088F">
            <w:pPr>
              <w:pStyle w:val="Pa12"/>
              <w:rPr>
                <w:rStyle w:val="A4"/>
                <w:b/>
                <w:bCs/>
              </w:rPr>
            </w:pPr>
            <w:r w:rsidRPr="00C3420A">
              <w:rPr>
                <w:rStyle w:val="A4"/>
                <w:b/>
                <w:bCs/>
              </w:rPr>
              <w:t xml:space="preserve">Results: </w:t>
            </w:r>
          </w:p>
          <w:p w14:paraId="27650456" w14:textId="77777777" w:rsidR="00EA088F" w:rsidRDefault="00EA088F" w:rsidP="00EA088F">
            <w:pPr>
              <w:pStyle w:val="Pa12"/>
              <w:rPr>
                <w:sz w:val="22"/>
                <w:szCs w:val="22"/>
              </w:rPr>
            </w:pPr>
            <w:r w:rsidRPr="00C3420A">
              <w:rPr>
                <w:color w:val="222222"/>
                <w:sz w:val="22"/>
                <w:szCs w:val="22"/>
                <w:shd w:val="clear" w:color="auto" w:fill="FFFFFF"/>
              </w:rPr>
              <w:t xml:space="preserve">Central and transpulmonary resistance, tissue damping, and tissue elastance </w:t>
            </w:r>
            <w:r w:rsidRPr="00C3420A">
              <w:rPr>
                <w:sz w:val="22"/>
                <w:szCs w:val="22"/>
              </w:rPr>
              <w:t>was reduced (p&lt;0.05,p&lt;0.01, 18mg vs SHAM). There was an increase in large airway epithelial thickness (p&lt;0.05, 18mg vs 0mg) and epithelial layers in both large (p&lt;0.05, 18mg vs 0mg) and small airways (p&lt;0.01, 18mg vs 0mg &amp; SHAM) by third-hand nicotine-containing e-cigarette exposure. Alveolar disruption was increased by both nicotine-free e-cigarette (p&lt;0.001, 0mg vs SHAM) and nicotine-containing e-cigarette (p&lt;0.0001, 18mg vs SHAM). Collagen was increased in the small airway by nicotine-containing third-hand e-cigarette (p&lt;0.05, 18mg vs SHAM).</w:t>
            </w:r>
            <w:r>
              <w:rPr>
                <w:sz w:val="22"/>
                <w:szCs w:val="22"/>
              </w:rPr>
              <w:t xml:space="preserve"> Fibronectin was decreased in nicotine containing e-cigarette exposure (</w:t>
            </w:r>
            <w:r w:rsidRPr="00C3420A">
              <w:rPr>
                <w:sz w:val="22"/>
                <w:szCs w:val="22"/>
              </w:rPr>
              <w:t>p&lt;0.05, 18mg vs SHAM).</w:t>
            </w:r>
          </w:p>
          <w:p w14:paraId="5B3EFD6F" w14:textId="77777777" w:rsidR="00EA088F" w:rsidRDefault="00EA088F" w:rsidP="00EA088F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increased trend of smooth muscle thickness was observed in third hand containing e-cigarette exposure. Mucus cells showed an increased trend in nicotine free e-cigarette. </w:t>
            </w:r>
          </w:p>
          <w:p w14:paraId="6317D196" w14:textId="77777777" w:rsidR="00EA088F" w:rsidRPr="00EA088F" w:rsidRDefault="00EA088F" w:rsidP="00EA088F">
            <w:pPr>
              <w:pStyle w:val="Default"/>
            </w:pPr>
          </w:p>
          <w:p w14:paraId="696A4620" w14:textId="77777777" w:rsidR="00EA088F" w:rsidRPr="00C3420A" w:rsidRDefault="00EA088F" w:rsidP="00EA088F">
            <w:pPr>
              <w:pStyle w:val="Pa12"/>
              <w:rPr>
                <w:rStyle w:val="A4"/>
                <w:b/>
                <w:bCs/>
              </w:rPr>
            </w:pPr>
            <w:r w:rsidRPr="00C3420A">
              <w:rPr>
                <w:rStyle w:val="A4"/>
                <w:b/>
                <w:bCs/>
              </w:rPr>
              <w:t xml:space="preserve">Conclusion: </w:t>
            </w:r>
          </w:p>
          <w:p w14:paraId="2D11235A" w14:textId="77777777" w:rsidR="00EA088F" w:rsidRDefault="00EA088F" w:rsidP="00EA08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lung health of young mice can be severely affected by third-hand exposure to e-cigarettes, particularly nicotine-containing e-cigarettes. Greater public knowledge of the dangers of third-hand exposure to e-cigarettes is required to decrease these adverse health effects.</w:t>
            </w:r>
          </w:p>
          <w:p w14:paraId="7DAD321E" w14:textId="77777777" w:rsidR="00EA088F" w:rsidRDefault="00EA088F" w:rsidP="00EA08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E7F1A" w14:textId="77777777" w:rsidR="00EA088F" w:rsidRPr="00C3420A" w:rsidRDefault="00EA088F" w:rsidP="00EA088F">
            <w:pPr>
              <w:pStyle w:val="Pa12"/>
              <w:rPr>
                <w:rStyle w:val="A4"/>
              </w:rPr>
            </w:pPr>
            <w:r w:rsidRPr="00C3420A">
              <w:rPr>
                <w:rStyle w:val="A4"/>
                <w:b/>
                <w:bCs/>
              </w:rPr>
              <w:t xml:space="preserve">Grant Support: </w:t>
            </w:r>
            <w:r w:rsidRPr="00C3420A">
              <w:rPr>
                <w:rStyle w:val="A4"/>
              </w:rPr>
              <w:t>Project was supported by NHMRC project grant (</w:t>
            </w:r>
            <w:r w:rsidRPr="00C3420A">
              <w:rPr>
                <w:color w:val="222222"/>
                <w:sz w:val="22"/>
                <w:szCs w:val="22"/>
                <w:shd w:val="clear" w:color="auto" w:fill="FFFFFF"/>
              </w:rPr>
              <w:t>APP1158186)</w:t>
            </w:r>
          </w:p>
          <w:p w14:paraId="5F58D34F" w14:textId="2DC224E1" w:rsidR="00EA088F" w:rsidRPr="0050053A" w:rsidRDefault="00EA088F" w:rsidP="00EA088F">
            <w:pPr>
              <w:pStyle w:val="Default"/>
              <w:rPr>
                <w:sz w:val="22"/>
                <w:szCs w:val="22"/>
                <w:lang w:val="en-US" w:eastAsia="en-GB"/>
              </w:rPr>
            </w:pP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51574E"/>
    <w:rsid w:val="008803FA"/>
    <w:rsid w:val="00B12E32"/>
    <w:rsid w:val="00E0700F"/>
    <w:rsid w:val="00EA088F"/>
    <w:rsid w:val="00F4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Andrew Thorpe</cp:lastModifiedBy>
  <cp:revision>2</cp:revision>
  <dcterms:created xsi:type="dcterms:W3CDTF">2023-10-18T21:43:00Z</dcterms:created>
  <dcterms:modified xsi:type="dcterms:W3CDTF">2023-10-18T21:43:00Z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