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43D3" w14:textId="0FA43852" w:rsidR="00C91E24" w:rsidRPr="00055798" w:rsidRDefault="004E6C33" w:rsidP="00055798">
      <w:pPr>
        <w:rPr>
          <w:rFonts w:ascii="Arial" w:hAnsi="Arial" w:cs="Arial"/>
          <w:b/>
          <w:bCs/>
        </w:rPr>
      </w:pPr>
      <w:r w:rsidRPr="00055798">
        <w:rPr>
          <w:rFonts w:ascii="Arial" w:hAnsi="Arial" w:cs="Arial"/>
          <w:b/>
          <w:bCs/>
        </w:rPr>
        <w:t>Maternal obesity</w:t>
      </w:r>
      <w:r w:rsidR="00284848" w:rsidRPr="00055798">
        <w:rPr>
          <w:rFonts w:ascii="Arial" w:hAnsi="Arial" w:cs="Arial"/>
          <w:b/>
          <w:bCs/>
        </w:rPr>
        <w:t xml:space="preserve"> and </w:t>
      </w:r>
      <w:r w:rsidRPr="00055798">
        <w:rPr>
          <w:rFonts w:ascii="Arial" w:hAnsi="Arial" w:cs="Arial"/>
          <w:b/>
          <w:bCs/>
        </w:rPr>
        <w:t>serum proteins</w:t>
      </w:r>
      <w:r w:rsidR="00D12F4C" w:rsidRPr="00055798">
        <w:rPr>
          <w:rFonts w:ascii="Arial" w:hAnsi="Arial" w:cs="Arial"/>
          <w:b/>
          <w:bCs/>
        </w:rPr>
        <w:t>, identified through mass spectrometry,</w:t>
      </w:r>
      <w:r w:rsidRPr="00055798">
        <w:rPr>
          <w:rFonts w:ascii="Arial" w:hAnsi="Arial" w:cs="Arial"/>
          <w:b/>
          <w:bCs/>
        </w:rPr>
        <w:t xml:space="preserve"> are potential biomarkers</w:t>
      </w:r>
      <w:r w:rsidR="008952F0" w:rsidRPr="00055798">
        <w:rPr>
          <w:rFonts w:ascii="Arial" w:hAnsi="Arial" w:cs="Arial"/>
          <w:b/>
          <w:bCs/>
        </w:rPr>
        <w:t xml:space="preserve"> of</w:t>
      </w:r>
      <w:r w:rsidR="00284848" w:rsidRPr="00055798">
        <w:rPr>
          <w:rFonts w:ascii="Arial" w:hAnsi="Arial" w:cs="Arial"/>
          <w:b/>
          <w:bCs/>
        </w:rPr>
        <w:t xml:space="preserve"> large for gestational age neonates</w:t>
      </w:r>
      <w:r w:rsidR="008952F0" w:rsidRPr="00055798">
        <w:rPr>
          <w:rFonts w:ascii="Arial" w:hAnsi="Arial" w:cs="Arial"/>
          <w:b/>
          <w:bCs/>
        </w:rPr>
        <w:t xml:space="preserve"> </w:t>
      </w:r>
    </w:p>
    <w:p w14:paraId="265C7D9B" w14:textId="77777777" w:rsidR="008427FA" w:rsidRPr="00055798" w:rsidRDefault="008427FA" w:rsidP="00055798">
      <w:pPr>
        <w:rPr>
          <w:rFonts w:ascii="Arial" w:hAnsi="Arial" w:cs="Arial"/>
        </w:rPr>
      </w:pPr>
    </w:p>
    <w:p w14:paraId="3D0BE4C4" w14:textId="57069908" w:rsidR="00921FF9" w:rsidRPr="00055798" w:rsidRDefault="00284848" w:rsidP="00055798">
      <w:pPr>
        <w:rPr>
          <w:rFonts w:ascii="Arial" w:hAnsi="Arial" w:cs="Arial"/>
        </w:rPr>
      </w:pPr>
      <w:r w:rsidRPr="00055798">
        <w:rPr>
          <w:rFonts w:ascii="Arial" w:hAnsi="Arial" w:cs="Arial"/>
          <w:b/>
          <w:bCs/>
        </w:rPr>
        <w:t>Background</w:t>
      </w:r>
      <w:r w:rsidRPr="00055798">
        <w:rPr>
          <w:rFonts w:ascii="Arial" w:hAnsi="Arial" w:cs="Arial"/>
        </w:rPr>
        <w:t xml:space="preserve">: </w:t>
      </w:r>
      <w:r w:rsidR="00BA4056" w:rsidRPr="00055798">
        <w:rPr>
          <w:rFonts w:ascii="Arial" w:hAnsi="Arial" w:cs="Arial"/>
        </w:rPr>
        <w:t xml:space="preserve">Neonates born large for gestational age (LGA) have higher incidence of childhood obesity and diabetes. </w:t>
      </w:r>
      <w:r w:rsidR="00A87808" w:rsidRPr="00055798">
        <w:rPr>
          <w:rFonts w:ascii="Arial" w:hAnsi="Arial" w:cs="Arial"/>
        </w:rPr>
        <w:t>Therefore, t</w:t>
      </w:r>
      <w:r w:rsidR="00EA41AE" w:rsidRPr="00055798">
        <w:rPr>
          <w:rFonts w:ascii="Arial" w:hAnsi="Arial" w:cs="Arial"/>
        </w:rPr>
        <w:t>imely identification of</w:t>
      </w:r>
      <w:r w:rsidR="00BA4056" w:rsidRPr="00055798">
        <w:rPr>
          <w:rFonts w:ascii="Arial" w:hAnsi="Arial" w:cs="Arial"/>
        </w:rPr>
        <w:t xml:space="preserve"> women most at risk of having LGA neonates </w:t>
      </w:r>
      <w:r w:rsidR="00093D4A" w:rsidRPr="00055798">
        <w:rPr>
          <w:rFonts w:ascii="Arial" w:hAnsi="Arial" w:cs="Arial"/>
        </w:rPr>
        <w:t>could</w:t>
      </w:r>
      <w:r w:rsidR="00BA4056" w:rsidRPr="00055798">
        <w:rPr>
          <w:rFonts w:ascii="Arial" w:hAnsi="Arial" w:cs="Arial"/>
        </w:rPr>
        <w:t xml:space="preserve"> </w:t>
      </w:r>
      <w:r w:rsidR="00093D4A" w:rsidRPr="00055798">
        <w:rPr>
          <w:rFonts w:ascii="Arial" w:hAnsi="Arial" w:cs="Arial"/>
        </w:rPr>
        <w:t>have value in</w:t>
      </w:r>
      <w:r w:rsidR="00BA4056" w:rsidRPr="00055798">
        <w:rPr>
          <w:rFonts w:ascii="Arial" w:hAnsi="Arial" w:cs="Arial"/>
        </w:rPr>
        <w:t xml:space="preserve"> addressing</w:t>
      </w:r>
      <w:r w:rsidR="00A87808" w:rsidRPr="00055798">
        <w:rPr>
          <w:rFonts w:ascii="Arial" w:hAnsi="Arial" w:cs="Arial"/>
        </w:rPr>
        <w:t xml:space="preserve"> </w:t>
      </w:r>
      <w:r w:rsidR="00BA4056" w:rsidRPr="00055798">
        <w:rPr>
          <w:rFonts w:ascii="Arial" w:hAnsi="Arial" w:cs="Arial"/>
        </w:rPr>
        <w:t xml:space="preserve">rising rates of diabetes. </w:t>
      </w:r>
    </w:p>
    <w:p w14:paraId="4AFF83AB" w14:textId="77777777" w:rsidR="00BA4056" w:rsidRPr="00055798" w:rsidRDefault="00BA4056" w:rsidP="00055798">
      <w:pPr>
        <w:rPr>
          <w:rFonts w:ascii="Arial" w:hAnsi="Arial" w:cs="Arial"/>
        </w:rPr>
      </w:pPr>
    </w:p>
    <w:p w14:paraId="27767687" w14:textId="5B0B95DA" w:rsidR="00284848" w:rsidRPr="00055798" w:rsidRDefault="00284848" w:rsidP="00055798">
      <w:pPr>
        <w:rPr>
          <w:rFonts w:ascii="Arial" w:hAnsi="Arial" w:cs="Arial"/>
        </w:rPr>
      </w:pPr>
      <w:r w:rsidRPr="00055798">
        <w:rPr>
          <w:rFonts w:ascii="Arial" w:hAnsi="Arial" w:cs="Arial"/>
          <w:b/>
          <w:bCs/>
        </w:rPr>
        <w:t>Aims</w:t>
      </w:r>
      <w:r w:rsidRPr="00055798">
        <w:rPr>
          <w:rFonts w:ascii="Arial" w:hAnsi="Arial" w:cs="Arial"/>
        </w:rPr>
        <w:t xml:space="preserve">: </w:t>
      </w:r>
      <w:r w:rsidR="00921FF9" w:rsidRPr="00055798">
        <w:rPr>
          <w:rFonts w:ascii="Arial" w:hAnsi="Arial" w:cs="Arial"/>
        </w:rPr>
        <w:t xml:space="preserve">To identify </w:t>
      </w:r>
      <w:r w:rsidR="00EA41AE" w:rsidRPr="00055798">
        <w:rPr>
          <w:rFonts w:ascii="Arial" w:hAnsi="Arial" w:cs="Arial"/>
        </w:rPr>
        <w:t>anthropometric</w:t>
      </w:r>
      <w:r w:rsidR="00921FF9" w:rsidRPr="00055798">
        <w:rPr>
          <w:rFonts w:ascii="Arial" w:hAnsi="Arial" w:cs="Arial"/>
        </w:rPr>
        <w:t xml:space="preserve"> and serum protein</w:t>
      </w:r>
      <w:r w:rsidR="00C15066" w:rsidRPr="00055798">
        <w:rPr>
          <w:rFonts w:ascii="Arial" w:hAnsi="Arial" w:cs="Arial"/>
        </w:rPr>
        <w:t xml:space="preserve"> differences</w:t>
      </w:r>
      <w:r w:rsidR="00921FF9" w:rsidRPr="00055798">
        <w:rPr>
          <w:rFonts w:ascii="Arial" w:hAnsi="Arial" w:cs="Arial"/>
        </w:rPr>
        <w:t xml:space="preserve"> </w:t>
      </w:r>
      <w:r w:rsidR="00EA41AE" w:rsidRPr="00055798">
        <w:rPr>
          <w:rFonts w:ascii="Arial" w:hAnsi="Arial" w:cs="Arial"/>
        </w:rPr>
        <w:t xml:space="preserve">in </w:t>
      </w:r>
      <w:r w:rsidR="00C15066" w:rsidRPr="00055798">
        <w:rPr>
          <w:rFonts w:ascii="Arial" w:hAnsi="Arial" w:cs="Arial"/>
        </w:rPr>
        <w:t>women</w:t>
      </w:r>
      <w:r w:rsidR="00921FF9" w:rsidRPr="00055798">
        <w:rPr>
          <w:rFonts w:ascii="Arial" w:hAnsi="Arial" w:cs="Arial"/>
        </w:rPr>
        <w:t xml:space="preserve"> who </w:t>
      </w:r>
      <w:r w:rsidR="00EA41AE" w:rsidRPr="00055798">
        <w:rPr>
          <w:rFonts w:ascii="Arial" w:hAnsi="Arial" w:cs="Arial"/>
        </w:rPr>
        <w:t>deliver</w:t>
      </w:r>
      <w:r w:rsidR="00921FF9" w:rsidRPr="00055798">
        <w:rPr>
          <w:rFonts w:ascii="Arial" w:hAnsi="Arial" w:cs="Arial"/>
        </w:rPr>
        <w:t xml:space="preserve"> </w:t>
      </w:r>
      <w:r w:rsidR="00A87808" w:rsidRPr="00055798">
        <w:rPr>
          <w:rFonts w:ascii="Arial" w:hAnsi="Arial" w:cs="Arial"/>
        </w:rPr>
        <w:t>LGA</w:t>
      </w:r>
      <w:r w:rsidR="00921FF9" w:rsidRPr="00055798">
        <w:rPr>
          <w:rFonts w:ascii="Arial" w:hAnsi="Arial" w:cs="Arial"/>
        </w:rPr>
        <w:t xml:space="preserve"> neonates. </w:t>
      </w:r>
    </w:p>
    <w:p w14:paraId="70D54619" w14:textId="77777777" w:rsidR="00284848" w:rsidRPr="00055798" w:rsidRDefault="00284848" w:rsidP="00055798">
      <w:pPr>
        <w:rPr>
          <w:rFonts w:ascii="Arial" w:hAnsi="Arial" w:cs="Arial"/>
        </w:rPr>
      </w:pPr>
    </w:p>
    <w:p w14:paraId="64127FDE" w14:textId="7AB31E98" w:rsidR="00284848" w:rsidRPr="00055798" w:rsidRDefault="00284848" w:rsidP="00055798">
      <w:pPr>
        <w:jc w:val="both"/>
        <w:rPr>
          <w:rFonts w:ascii="Arial" w:hAnsi="Arial" w:cs="Arial"/>
        </w:rPr>
      </w:pPr>
      <w:r w:rsidRPr="00055798">
        <w:rPr>
          <w:rFonts w:ascii="Arial" w:hAnsi="Arial" w:cs="Arial"/>
          <w:b/>
          <w:bCs/>
        </w:rPr>
        <w:t>Methods</w:t>
      </w:r>
      <w:r w:rsidRPr="00055798">
        <w:rPr>
          <w:rFonts w:ascii="Arial" w:hAnsi="Arial" w:cs="Arial"/>
        </w:rPr>
        <w:t>:</w:t>
      </w:r>
      <w:r w:rsidR="008952F0" w:rsidRPr="00055798">
        <w:rPr>
          <w:rFonts w:ascii="Arial" w:hAnsi="Arial" w:cs="Arial"/>
        </w:rPr>
        <w:t xml:space="preserve"> Pregnant women from Royal North Shore Hospital </w:t>
      </w:r>
      <w:r w:rsidR="00C15066" w:rsidRPr="00055798">
        <w:rPr>
          <w:rFonts w:ascii="Arial" w:hAnsi="Arial" w:cs="Arial"/>
        </w:rPr>
        <w:t xml:space="preserve">were screened </w:t>
      </w:r>
      <w:r w:rsidR="00093D4A" w:rsidRPr="00055798">
        <w:rPr>
          <w:rFonts w:ascii="Arial" w:hAnsi="Arial" w:cs="Arial"/>
        </w:rPr>
        <w:t>for</w:t>
      </w:r>
      <w:r w:rsidR="00266177" w:rsidRPr="00055798">
        <w:rPr>
          <w:rFonts w:ascii="Arial" w:hAnsi="Arial" w:cs="Arial"/>
        </w:rPr>
        <w:t xml:space="preserve"> known risk</w:t>
      </w:r>
      <w:r w:rsidR="00093D4A" w:rsidRPr="00055798">
        <w:rPr>
          <w:rFonts w:ascii="Arial" w:hAnsi="Arial" w:cs="Arial"/>
        </w:rPr>
        <w:t>-factors</w:t>
      </w:r>
      <w:r w:rsidR="00266177" w:rsidRPr="00055798">
        <w:rPr>
          <w:rFonts w:ascii="Arial" w:hAnsi="Arial" w:cs="Arial"/>
        </w:rPr>
        <w:t xml:space="preserve"> of </w:t>
      </w:r>
      <w:r w:rsidR="00AC552F" w:rsidRPr="00055798">
        <w:rPr>
          <w:rFonts w:ascii="Arial" w:hAnsi="Arial" w:cs="Arial"/>
        </w:rPr>
        <w:t>gestational diabetes (</w:t>
      </w:r>
      <w:r w:rsidR="00266177" w:rsidRPr="00055798">
        <w:rPr>
          <w:rFonts w:ascii="Arial" w:hAnsi="Arial" w:cs="Arial"/>
        </w:rPr>
        <w:t>GDM</w:t>
      </w:r>
      <w:r w:rsidR="00AC552F" w:rsidRPr="00055798">
        <w:rPr>
          <w:rFonts w:ascii="Arial" w:hAnsi="Arial" w:cs="Arial"/>
        </w:rPr>
        <w:t>)</w:t>
      </w:r>
      <w:r w:rsidR="00266177" w:rsidRPr="00055798">
        <w:rPr>
          <w:rFonts w:ascii="Arial" w:hAnsi="Arial" w:cs="Arial"/>
        </w:rPr>
        <w:t xml:space="preserve">. </w:t>
      </w:r>
      <w:r w:rsidR="007A763F" w:rsidRPr="00055798">
        <w:rPr>
          <w:rFonts w:ascii="Arial" w:hAnsi="Arial" w:cs="Arial"/>
        </w:rPr>
        <w:t xml:space="preserve">Anthropometric measures and </w:t>
      </w:r>
      <w:r w:rsidR="00C15066" w:rsidRPr="00055798">
        <w:rPr>
          <w:rFonts w:ascii="Arial" w:hAnsi="Arial" w:cs="Arial"/>
        </w:rPr>
        <w:t>serum samples</w:t>
      </w:r>
      <w:r w:rsidR="007A763F" w:rsidRPr="00055798">
        <w:rPr>
          <w:rFonts w:ascii="Arial" w:hAnsi="Arial" w:cs="Arial"/>
        </w:rPr>
        <w:t xml:space="preserve"> </w:t>
      </w:r>
      <w:r w:rsidR="00A77022" w:rsidRPr="00055798">
        <w:rPr>
          <w:rFonts w:ascii="Arial" w:hAnsi="Arial" w:cs="Arial"/>
        </w:rPr>
        <w:t>were</w:t>
      </w:r>
      <w:r w:rsidR="007A763F" w:rsidRPr="00055798">
        <w:rPr>
          <w:rFonts w:ascii="Arial" w:hAnsi="Arial" w:cs="Arial"/>
        </w:rPr>
        <w:t xml:space="preserve"> </w:t>
      </w:r>
      <w:r w:rsidR="00C15066" w:rsidRPr="00055798">
        <w:rPr>
          <w:rFonts w:ascii="Arial" w:hAnsi="Arial" w:cs="Arial"/>
        </w:rPr>
        <w:t>collected</w:t>
      </w:r>
      <w:r w:rsidR="007A763F" w:rsidRPr="00055798">
        <w:rPr>
          <w:rFonts w:ascii="Arial" w:hAnsi="Arial" w:cs="Arial"/>
        </w:rPr>
        <w:t xml:space="preserve"> in trimester 1</w:t>
      </w:r>
      <w:r w:rsidR="00093D4A" w:rsidRPr="00055798">
        <w:rPr>
          <w:rFonts w:ascii="Arial" w:hAnsi="Arial" w:cs="Arial"/>
        </w:rPr>
        <w:t xml:space="preserve"> and perinatal outcomes were recorded</w:t>
      </w:r>
      <w:r w:rsidR="007A763F" w:rsidRPr="00055798">
        <w:rPr>
          <w:rFonts w:ascii="Arial" w:hAnsi="Arial" w:cs="Arial"/>
        </w:rPr>
        <w:t xml:space="preserve">. </w:t>
      </w:r>
      <w:r w:rsidRPr="00055798">
        <w:rPr>
          <w:rFonts w:ascii="Arial" w:hAnsi="Arial" w:cs="Arial"/>
        </w:rPr>
        <w:t>Proteomic analysis was done using data-dependant acquisitio</w:t>
      </w:r>
      <w:r w:rsidR="00093D4A" w:rsidRPr="00055798">
        <w:rPr>
          <w:rFonts w:ascii="Arial" w:hAnsi="Arial" w:cs="Arial"/>
        </w:rPr>
        <w:t>n,</w:t>
      </w:r>
      <w:r w:rsidRPr="00055798">
        <w:rPr>
          <w:rFonts w:ascii="Arial" w:hAnsi="Arial" w:cs="Arial"/>
        </w:rPr>
        <w:t xml:space="preserve"> liquid chromatography</w:t>
      </w:r>
      <w:r w:rsidR="00093D4A" w:rsidRPr="00055798">
        <w:rPr>
          <w:rFonts w:ascii="Arial" w:hAnsi="Arial" w:cs="Arial"/>
        </w:rPr>
        <w:t xml:space="preserve"> </w:t>
      </w:r>
      <w:r w:rsidRPr="00055798">
        <w:rPr>
          <w:rFonts w:ascii="Arial" w:hAnsi="Arial" w:cs="Arial"/>
        </w:rPr>
        <w:t xml:space="preserve">mass spectrometry. </w:t>
      </w:r>
      <w:r w:rsidR="00FA700C" w:rsidRPr="00055798">
        <w:rPr>
          <w:rFonts w:ascii="Arial" w:hAnsi="Arial" w:cs="Arial"/>
        </w:rPr>
        <w:t xml:space="preserve">Mothers were grouped based on </w:t>
      </w:r>
      <w:r w:rsidR="00A87808" w:rsidRPr="00055798">
        <w:rPr>
          <w:rFonts w:ascii="Arial" w:hAnsi="Arial" w:cs="Arial"/>
        </w:rPr>
        <w:t xml:space="preserve">occurrence of </w:t>
      </w:r>
      <w:r w:rsidR="00FA700C" w:rsidRPr="00055798">
        <w:rPr>
          <w:rFonts w:ascii="Arial" w:hAnsi="Arial" w:cs="Arial"/>
        </w:rPr>
        <w:t xml:space="preserve">LGA </w:t>
      </w:r>
      <w:r w:rsidR="00A87808" w:rsidRPr="00055798">
        <w:rPr>
          <w:rFonts w:ascii="Arial" w:hAnsi="Arial" w:cs="Arial"/>
        </w:rPr>
        <w:t>with</w:t>
      </w:r>
      <w:r w:rsidR="00FA700C" w:rsidRPr="00055798">
        <w:rPr>
          <w:rFonts w:ascii="Arial" w:hAnsi="Arial" w:cs="Arial"/>
        </w:rPr>
        <w:t xml:space="preserve"> statistical analysis </w:t>
      </w:r>
      <w:r w:rsidR="00A87808" w:rsidRPr="00055798">
        <w:rPr>
          <w:rFonts w:ascii="Arial" w:hAnsi="Arial" w:cs="Arial"/>
        </w:rPr>
        <w:t>completed in</w:t>
      </w:r>
      <w:r w:rsidR="00FA700C" w:rsidRPr="00055798">
        <w:rPr>
          <w:rFonts w:ascii="Arial" w:hAnsi="Arial" w:cs="Arial"/>
        </w:rPr>
        <w:t xml:space="preserve"> R. </w:t>
      </w:r>
    </w:p>
    <w:p w14:paraId="63F57DE1" w14:textId="352946A8" w:rsidR="00284848" w:rsidRPr="00055798" w:rsidRDefault="00284848" w:rsidP="00055798">
      <w:pPr>
        <w:rPr>
          <w:rFonts w:ascii="Arial" w:hAnsi="Arial" w:cs="Arial"/>
        </w:rPr>
      </w:pPr>
    </w:p>
    <w:p w14:paraId="328EBE1C" w14:textId="674C63A3" w:rsidR="00266177" w:rsidRPr="00055798" w:rsidRDefault="00284848" w:rsidP="00055798">
      <w:pPr>
        <w:rPr>
          <w:rFonts w:ascii="Arial" w:hAnsi="Arial" w:cs="Arial"/>
        </w:rPr>
      </w:pPr>
      <w:r w:rsidRPr="00055798">
        <w:rPr>
          <w:rFonts w:ascii="Arial" w:hAnsi="Arial" w:cs="Arial"/>
          <w:b/>
          <w:bCs/>
        </w:rPr>
        <w:t>Results</w:t>
      </w:r>
      <w:r w:rsidRPr="00055798">
        <w:rPr>
          <w:rFonts w:ascii="Arial" w:hAnsi="Arial" w:cs="Arial"/>
        </w:rPr>
        <w:t xml:space="preserve">: </w:t>
      </w:r>
      <w:r w:rsidR="00A87808" w:rsidRPr="00055798">
        <w:rPr>
          <w:rFonts w:ascii="Arial" w:hAnsi="Arial" w:cs="Arial"/>
        </w:rPr>
        <w:t>This study included</w:t>
      </w:r>
      <w:r w:rsidR="008952F0" w:rsidRPr="00055798">
        <w:rPr>
          <w:rFonts w:ascii="Arial" w:hAnsi="Arial" w:cs="Arial"/>
        </w:rPr>
        <w:t xml:space="preserve"> 102 women</w:t>
      </w:r>
      <w:r w:rsidR="00A87808" w:rsidRPr="00055798">
        <w:rPr>
          <w:rFonts w:ascii="Arial" w:hAnsi="Arial" w:cs="Arial"/>
        </w:rPr>
        <w:t xml:space="preserve"> </w:t>
      </w:r>
      <w:r w:rsidR="008952F0" w:rsidRPr="00055798">
        <w:rPr>
          <w:rFonts w:ascii="Arial" w:hAnsi="Arial" w:cs="Arial"/>
        </w:rPr>
        <w:t>with an</w:t>
      </w:r>
      <w:r w:rsidR="00FA700C" w:rsidRPr="00055798">
        <w:rPr>
          <w:rFonts w:ascii="Arial" w:hAnsi="Arial" w:cs="Arial"/>
        </w:rPr>
        <w:t xml:space="preserve"> </w:t>
      </w:r>
      <w:r w:rsidR="00A87808" w:rsidRPr="00055798">
        <w:rPr>
          <w:rFonts w:ascii="Arial" w:hAnsi="Arial" w:cs="Arial"/>
        </w:rPr>
        <w:t xml:space="preserve">LGA </w:t>
      </w:r>
      <w:r w:rsidR="00FA700C" w:rsidRPr="00055798">
        <w:rPr>
          <w:rFonts w:ascii="Arial" w:hAnsi="Arial" w:cs="Arial"/>
        </w:rPr>
        <w:t xml:space="preserve">incidence </w:t>
      </w:r>
      <w:r w:rsidR="008952F0" w:rsidRPr="00055798">
        <w:rPr>
          <w:rFonts w:ascii="Arial" w:hAnsi="Arial" w:cs="Arial"/>
        </w:rPr>
        <w:t>of</w:t>
      </w:r>
      <w:r w:rsidR="00FA700C" w:rsidRPr="00055798">
        <w:rPr>
          <w:rFonts w:ascii="Arial" w:hAnsi="Arial" w:cs="Arial"/>
        </w:rPr>
        <w:t xml:space="preserve"> 20(19.6%). There was no significant difference in GDM</w:t>
      </w:r>
      <w:r w:rsidR="00A87808" w:rsidRPr="00055798">
        <w:rPr>
          <w:rFonts w:ascii="Arial" w:hAnsi="Arial" w:cs="Arial"/>
        </w:rPr>
        <w:t xml:space="preserve"> rates</w:t>
      </w:r>
      <w:r w:rsidR="00FA700C" w:rsidRPr="00055798">
        <w:rPr>
          <w:rFonts w:ascii="Arial" w:hAnsi="Arial" w:cs="Arial"/>
        </w:rPr>
        <w:t xml:space="preserve"> between </w:t>
      </w:r>
      <w:r w:rsidR="00A87808" w:rsidRPr="00055798">
        <w:rPr>
          <w:rFonts w:ascii="Arial" w:hAnsi="Arial" w:cs="Arial"/>
        </w:rPr>
        <w:t>groups</w:t>
      </w:r>
      <w:r w:rsidR="00FA700C" w:rsidRPr="00055798">
        <w:rPr>
          <w:rFonts w:ascii="Arial" w:hAnsi="Arial" w:cs="Arial"/>
        </w:rPr>
        <w:t xml:space="preserve"> (6(30%)</w:t>
      </w:r>
      <w:r w:rsidR="00D12F4C" w:rsidRPr="00055798">
        <w:rPr>
          <w:rFonts w:ascii="Arial" w:hAnsi="Arial" w:cs="Arial"/>
        </w:rPr>
        <w:t xml:space="preserve"> </w:t>
      </w:r>
      <w:r w:rsidR="00A87808" w:rsidRPr="00055798">
        <w:rPr>
          <w:rFonts w:ascii="Arial" w:hAnsi="Arial" w:cs="Arial"/>
        </w:rPr>
        <w:t>vs</w:t>
      </w:r>
      <w:r w:rsidR="00D12F4C" w:rsidRPr="00055798">
        <w:rPr>
          <w:rFonts w:ascii="Arial" w:hAnsi="Arial" w:cs="Arial"/>
        </w:rPr>
        <w:t xml:space="preserve"> </w:t>
      </w:r>
      <w:r w:rsidR="00FA700C" w:rsidRPr="00055798">
        <w:rPr>
          <w:rFonts w:ascii="Arial" w:hAnsi="Arial" w:cs="Arial"/>
        </w:rPr>
        <w:t>23(28%)</w:t>
      </w:r>
      <w:r w:rsidR="00C15066" w:rsidRPr="00055798">
        <w:rPr>
          <w:rFonts w:ascii="Arial" w:hAnsi="Arial" w:cs="Arial"/>
        </w:rPr>
        <w:t>, p=1.00)</w:t>
      </w:r>
      <w:r w:rsidR="00FA700C" w:rsidRPr="00055798">
        <w:rPr>
          <w:rFonts w:ascii="Arial" w:hAnsi="Arial" w:cs="Arial"/>
        </w:rPr>
        <w:t>. BMI (26.0±6.32</w:t>
      </w:r>
      <w:r w:rsidR="00D12F4C" w:rsidRPr="00055798">
        <w:rPr>
          <w:rFonts w:ascii="Arial" w:hAnsi="Arial" w:cs="Arial"/>
        </w:rPr>
        <w:t>kg/m</w:t>
      </w:r>
      <w:r w:rsidR="00D12F4C" w:rsidRPr="00055798">
        <w:rPr>
          <w:rFonts w:ascii="Arial" w:hAnsi="Arial" w:cs="Arial"/>
          <w:vertAlign w:val="superscript"/>
        </w:rPr>
        <w:t>2</w:t>
      </w:r>
      <w:r w:rsidR="00D12F4C" w:rsidRPr="00055798">
        <w:rPr>
          <w:rFonts w:ascii="Arial" w:hAnsi="Arial" w:cs="Arial"/>
        </w:rPr>
        <w:t xml:space="preserve"> v</w:t>
      </w:r>
      <w:r w:rsidR="00FA700C" w:rsidRPr="00055798">
        <w:rPr>
          <w:rFonts w:ascii="Arial" w:hAnsi="Arial" w:cs="Arial"/>
        </w:rPr>
        <w:t>s</w:t>
      </w:r>
      <w:r w:rsidR="00D12F4C" w:rsidRPr="00055798">
        <w:rPr>
          <w:rFonts w:ascii="Arial" w:hAnsi="Arial" w:cs="Arial"/>
        </w:rPr>
        <w:t xml:space="preserve"> </w:t>
      </w:r>
      <w:r w:rsidR="00FA700C" w:rsidRPr="00055798">
        <w:rPr>
          <w:rFonts w:ascii="Arial" w:hAnsi="Arial" w:cs="Arial"/>
        </w:rPr>
        <w:t>32.2±7.45</w:t>
      </w:r>
      <w:r w:rsidR="00D12F4C" w:rsidRPr="00055798">
        <w:rPr>
          <w:rFonts w:ascii="Arial" w:hAnsi="Arial" w:cs="Arial"/>
        </w:rPr>
        <w:t>kg/m</w:t>
      </w:r>
      <w:r w:rsidR="00D12F4C" w:rsidRPr="00055798">
        <w:rPr>
          <w:rFonts w:ascii="Arial" w:hAnsi="Arial" w:cs="Arial"/>
          <w:vertAlign w:val="superscript"/>
        </w:rPr>
        <w:t>2</w:t>
      </w:r>
      <w:r w:rsidR="00FA700C" w:rsidRPr="00055798">
        <w:rPr>
          <w:rFonts w:ascii="Arial" w:hAnsi="Arial" w:cs="Arial"/>
        </w:rPr>
        <w:t>, p=0.002), abdominal circumference</w:t>
      </w:r>
      <w:r w:rsidR="00EA41AE" w:rsidRPr="00055798">
        <w:rPr>
          <w:rFonts w:ascii="Arial" w:hAnsi="Arial" w:cs="Arial"/>
        </w:rPr>
        <w:t xml:space="preserve"> (93.6±12.1</w:t>
      </w:r>
      <w:r w:rsidR="00D12F4C" w:rsidRPr="00055798">
        <w:rPr>
          <w:rFonts w:ascii="Arial" w:hAnsi="Arial" w:cs="Arial"/>
        </w:rPr>
        <w:t xml:space="preserve">cm </w:t>
      </w:r>
      <w:r w:rsidR="00EA41AE" w:rsidRPr="00055798">
        <w:rPr>
          <w:rFonts w:ascii="Arial" w:hAnsi="Arial" w:cs="Arial"/>
        </w:rPr>
        <w:t>vs</w:t>
      </w:r>
      <w:r w:rsidR="00D12F4C" w:rsidRPr="00055798">
        <w:rPr>
          <w:rFonts w:ascii="Arial" w:hAnsi="Arial" w:cs="Arial"/>
        </w:rPr>
        <w:t xml:space="preserve"> </w:t>
      </w:r>
      <w:r w:rsidR="00EA41AE" w:rsidRPr="00055798">
        <w:rPr>
          <w:rFonts w:ascii="Arial" w:hAnsi="Arial" w:cs="Arial"/>
        </w:rPr>
        <w:t>99.7±9.18</w:t>
      </w:r>
      <w:r w:rsidR="00D12F4C" w:rsidRPr="00055798">
        <w:rPr>
          <w:rFonts w:ascii="Arial" w:hAnsi="Arial" w:cs="Arial"/>
        </w:rPr>
        <w:t>cm</w:t>
      </w:r>
      <w:r w:rsidR="00EA41AE" w:rsidRPr="00055798">
        <w:rPr>
          <w:rFonts w:ascii="Arial" w:hAnsi="Arial" w:cs="Arial"/>
        </w:rPr>
        <w:t>, p=0.038)</w:t>
      </w:r>
      <w:r w:rsidR="00FA700C" w:rsidRPr="00055798">
        <w:rPr>
          <w:rFonts w:ascii="Arial" w:hAnsi="Arial" w:cs="Arial"/>
        </w:rPr>
        <w:t xml:space="preserve"> and neck circumference </w:t>
      </w:r>
      <w:r w:rsidR="00EA41AE" w:rsidRPr="00055798">
        <w:rPr>
          <w:rFonts w:ascii="Arial" w:hAnsi="Arial" w:cs="Arial"/>
        </w:rPr>
        <w:t>(33.6±3.03</w:t>
      </w:r>
      <w:r w:rsidR="00D12F4C" w:rsidRPr="00055798">
        <w:rPr>
          <w:rFonts w:ascii="Arial" w:hAnsi="Arial" w:cs="Arial"/>
        </w:rPr>
        <w:t xml:space="preserve">cm </w:t>
      </w:r>
      <w:r w:rsidR="00EA41AE" w:rsidRPr="00055798">
        <w:rPr>
          <w:rFonts w:ascii="Arial" w:hAnsi="Arial" w:cs="Arial"/>
        </w:rPr>
        <w:t>vs</w:t>
      </w:r>
      <w:r w:rsidR="00D12F4C" w:rsidRPr="00055798">
        <w:rPr>
          <w:rFonts w:ascii="Arial" w:hAnsi="Arial" w:cs="Arial"/>
        </w:rPr>
        <w:t xml:space="preserve"> </w:t>
      </w:r>
      <w:r w:rsidR="00EA41AE" w:rsidRPr="00055798">
        <w:rPr>
          <w:rFonts w:ascii="Arial" w:hAnsi="Arial" w:cs="Arial"/>
        </w:rPr>
        <w:t>35.1±2.27</w:t>
      </w:r>
      <w:r w:rsidR="00D12F4C" w:rsidRPr="00055798">
        <w:rPr>
          <w:rFonts w:ascii="Arial" w:hAnsi="Arial" w:cs="Arial"/>
        </w:rPr>
        <w:t>cm</w:t>
      </w:r>
      <w:r w:rsidR="00EA41AE" w:rsidRPr="00055798">
        <w:rPr>
          <w:rFonts w:ascii="Arial" w:hAnsi="Arial" w:cs="Arial"/>
        </w:rPr>
        <w:t xml:space="preserve">, p=0.042) </w:t>
      </w:r>
      <w:r w:rsidR="00FA700C" w:rsidRPr="00055798">
        <w:rPr>
          <w:rFonts w:ascii="Arial" w:hAnsi="Arial" w:cs="Arial"/>
        </w:rPr>
        <w:t xml:space="preserve">were </w:t>
      </w:r>
      <w:r w:rsidR="00A87808" w:rsidRPr="00055798">
        <w:rPr>
          <w:rFonts w:ascii="Arial" w:hAnsi="Arial" w:cs="Arial"/>
        </w:rPr>
        <w:t>s</w:t>
      </w:r>
      <w:r w:rsidR="00FA700C" w:rsidRPr="00055798">
        <w:rPr>
          <w:rFonts w:ascii="Arial" w:hAnsi="Arial" w:cs="Arial"/>
        </w:rPr>
        <w:t xml:space="preserve">ignificantly higher in mothers </w:t>
      </w:r>
      <w:r w:rsidR="00A87808" w:rsidRPr="00055798">
        <w:rPr>
          <w:rFonts w:ascii="Arial" w:hAnsi="Arial" w:cs="Arial"/>
        </w:rPr>
        <w:t>with</w:t>
      </w:r>
      <w:r w:rsidR="00FA700C" w:rsidRPr="00055798">
        <w:rPr>
          <w:rFonts w:ascii="Arial" w:hAnsi="Arial" w:cs="Arial"/>
        </w:rPr>
        <w:t xml:space="preserve"> LGA neonates. </w:t>
      </w:r>
      <w:r w:rsidR="00EA41AE" w:rsidRPr="00055798">
        <w:rPr>
          <w:rFonts w:ascii="Arial" w:hAnsi="Arial" w:cs="Arial"/>
        </w:rPr>
        <w:t>Mass spectrometry identified 2 significantly upregulated proteins and 4 significantly downregulated proteins in mothers with LGA neonates based on a fold change</w:t>
      </w:r>
      <w:r w:rsidR="00093D4A" w:rsidRPr="00055798">
        <w:rPr>
          <w:rFonts w:ascii="Arial" w:hAnsi="Arial" w:cs="Arial"/>
        </w:rPr>
        <w:t xml:space="preserve"> (FC)</w:t>
      </w:r>
      <w:r w:rsidR="00EA41AE" w:rsidRPr="00055798">
        <w:rPr>
          <w:rFonts w:ascii="Arial" w:hAnsi="Arial" w:cs="Arial"/>
        </w:rPr>
        <w:t xml:space="preserve"> threshold of 1.5 </w:t>
      </w:r>
      <w:r w:rsidR="00A87808" w:rsidRPr="00055798">
        <w:rPr>
          <w:rFonts w:ascii="Arial" w:hAnsi="Arial" w:cs="Arial"/>
        </w:rPr>
        <w:t>(</w:t>
      </w:r>
      <w:r w:rsidR="00EA41AE" w:rsidRPr="00055798">
        <w:rPr>
          <w:rFonts w:ascii="Arial" w:hAnsi="Arial" w:cs="Arial"/>
        </w:rPr>
        <w:t>table 1</w:t>
      </w:r>
      <w:r w:rsidR="00A87808" w:rsidRPr="00055798">
        <w:rPr>
          <w:rFonts w:ascii="Arial" w:hAnsi="Arial" w:cs="Arial"/>
        </w:rPr>
        <w:t>)</w:t>
      </w:r>
      <w:r w:rsidR="00EA41AE" w:rsidRPr="00055798">
        <w:rPr>
          <w:rFonts w:ascii="Arial" w:hAnsi="Arial" w:cs="Arial"/>
        </w:rPr>
        <w:t xml:space="preserve">. </w:t>
      </w:r>
    </w:p>
    <w:p w14:paraId="50A4961B" w14:textId="77777777" w:rsidR="002C7EE2" w:rsidRPr="00055798" w:rsidRDefault="002C7EE2" w:rsidP="00055798">
      <w:pPr>
        <w:rPr>
          <w:rFonts w:ascii="Arial" w:hAnsi="Arial" w:cs="Arial"/>
        </w:rPr>
      </w:pPr>
    </w:p>
    <w:p w14:paraId="38B86DC9" w14:textId="77777777" w:rsidR="002C7EE2" w:rsidRPr="00055798" w:rsidRDefault="002C7EE2" w:rsidP="00055798">
      <w:pPr>
        <w:rPr>
          <w:rFonts w:ascii="Arial" w:hAnsi="Arial" w:cs="Arial"/>
          <w:lang w:eastAsia="en-GB"/>
        </w:rPr>
      </w:pPr>
      <w:r w:rsidRPr="00055798">
        <w:rPr>
          <w:rFonts w:ascii="Arial" w:hAnsi="Arial" w:cs="Arial"/>
          <w:b/>
          <w:bCs/>
          <w:lang w:eastAsia="en-GB"/>
        </w:rPr>
        <w:t>Table 1:</w:t>
      </w:r>
      <w:r w:rsidRPr="00055798">
        <w:rPr>
          <w:rFonts w:ascii="Arial" w:hAnsi="Arial" w:cs="Arial"/>
          <w:lang w:eastAsia="en-GB"/>
        </w:rPr>
        <w:t xml:space="preserve"> Significantly dysregulated trimester 1 serum proteins in mothers that delivered LGA neonates identified by mass spectrometry. </w:t>
      </w:r>
    </w:p>
    <w:tbl>
      <w:tblPr>
        <w:tblStyle w:val="TableGrid"/>
        <w:tblW w:w="8493" w:type="dxa"/>
        <w:tblLook w:val="04A0" w:firstRow="1" w:lastRow="0" w:firstColumn="1" w:lastColumn="0" w:noHBand="0" w:noVBand="1"/>
      </w:tblPr>
      <w:tblGrid>
        <w:gridCol w:w="1515"/>
        <w:gridCol w:w="1428"/>
        <w:gridCol w:w="1236"/>
        <w:gridCol w:w="1516"/>
        <w:gridCol w:w="1428"/>
        <w:gridCol w:w="1370"/>
      </w:tblGrid>
      <w:tr w:rsidR="002C7EE2" w:rsidRPr="00055798" w14:paraId="76688924" w14:textId="77777777" w:rsidTr="00FD3B63">
        <w:tc>
          <w:tcPr>
            <w:tcW w:w="0" w:type="auto"/>
            <w:gridSpan w:val="3"/>
          </w:tcPr>
          <w:p w14:paraId="16587E4E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Upregulated</w:t>
            </w:r>
          </w:p>
        </w:tc>
        <w:tc>
          <w:tcPr>
            <w:tcW w:w="0" w:type="auto"/>
            <w:gridSpan w:val="3"/>
          </w:tcPr>
          <w:p w14:paraId="5BF23859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Downregulated</w:t>
            </w:r>
          </w:p>
        </w:tc>
      </w:tr>
      <w:tr w:rsidR="002C7EE2" w:rsidRPr="00055798" w14:paraId="0CBAF7ED" w14:textId="77777777" w:rsidTr="00FD3B63">
        <w:tc>
          <w:tcPr>
            <w:tcW w:w="0" w:type="auto"/>
          </w:tcPr>
          <w:p w14:paraId="23622FFA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Protein ID</w:t>
            </w:r>
          </w:p>
        </w:tc>
        <w:tc>
          <w:tcPr>
            <w:tcW w:w="0" w:type="auto"/>
          </w:tcPr>
          <w:p w14:paraId="08D75414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Log2(FC)</w:t>
            </w:r>
          </w:p>
        </w:tc>
        <w:tc>
          <w:tcPr>
            <w:tcW w:w="0" w:type="auto"/>
          </w:tcPr>
          <w:p w14:paraId="47C136F7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P-Value</w:t>
            </w:r>
          </w:p>
        </w:tc>
        <w:tc>
          <w:tcPr>
            <w:tcW w:w="0" w:type="auto"/>
          </w:tcPr>
          <w:p w14:paraId="5A66884E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Protein ID</w:t>
            </w:r>
          </w:p>
        </w:tc>
        <w:tc>
          <w:tcPr>
            <w:tcW w:w="0" w:type="auto"/>
          </w:tcPr>
          <w:p w14:paraId="2A880BBA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Log2(FC)</w:t>
            </w:r>
          </w:p>
        </w:tc>
        <w:tc>
          <w:tcPr>
            <w:tcW w:w="0" w:type="auto"/>
          </w:tcPr>
          <w:p w14:paraId="4036ADEB" w14:textId="77777777" w:rsidR="002C7EE2" w:rsidRPr="00055798" w:rsidRDefault="002C7EE2" w:rsidP="00055798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055798">
              <w:rPr>
                <w:rFonts w:ascii="Arial" w:hAnsi="Arial" w:cs="Arial"/>
                <w:b/>
                <w:bCs/>
                <w:lang w:val="en-AU"/>
              </w:rPr>
              <w:t>P-Value</w:t>
            </w:r>
          </w:p>
        </w:tc>
      </w:tr>
      <w:tr w:rsidR="002C7EE2" w:rsidRPr="00055798" w14:paraId="000CFAF8" w14:textId="77777777" w:rsidTr="00FD3B63">
        <w:tc>
          <w:tcPr>
            <w:tcW w:w="0" w:type="auto"/>
          </w:tcPr>
          <w:p w14:paraId="7BC5F39E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IGKV1.17</w:t>
            </w:r>
          </w:p>
        </w:tc>
        <w:tc>
          <w:tcPr>
            <w:tcW w:w="0" w:type="auto"/>
          </w:tcPr>
          <w:p w14:paraId="74200143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0.592</w:t>
            </w:r>
          </w:p>
        </w:tc>
        <w:tc>
          <w:tcPr>
            <w:tcW w:w="0" w:type="auto"/>
          </w:tcPr>
          <w:p w14:paraId="0ADD53C4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0.0184</w:t>
            </w:r>
          </w:p>
        </w:tc>
        <w:tc>
          <w:tcPr>
            <w:tcW w:w="0" w:type="auto"/>
          </w:tcPr>
          <w:p w14:paraId="67E33362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PROC</w:t>
            </w:r>
          </w:p>
        </w:tc>
        <w:tc>
          <w:tcPr>
            <w:tcW w:w="0" w:type="auto"/>
          </w:tcPr>
          <w:p w14:paraId="123724C0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-0.802</w:t>
            </w:r>
          </w:p>
        </w:tc>
        <w:tc>
          <w:tcPr>
            <w:tcW w:w="0" w:type="auto"/>
          </w:tcPr>
          <w:p w14:paraId="68898DAC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0.000388</w:t>
            </w:r>
          </w:p>
        </w:tc>
      </w:tr>
      <w:tr w:rsidR="002C7EE2" w:rsidRPr="00055798" w14:paraId="497CA137" w14:textId="77777777" w:rsidTr="00FD3B63">
        <w:tc>
          <w:tcPr>
            <w:tcW w:w="0" w:type="auto"/>
          </w:tcPr>
          <w:p w14:paraId="0D04BCC3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IGHV4.4</w:t>
            </w:r>
          </w:p>
        </w:tc>
        <w:tc>
          <w:tcPr>
            <w:tcW w:w="0" w:type="auto"/>
          </w:tcPr>
          <w:p w14:paraId="09CA2EF4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0.776</w:t>
            </w:r>
          </w:p>
        </w:tc>
        <w:tc>
          <w:tcPr>
            <w:tcW w:w="0" w:type="auto"/>
          </w:tcPr>
          <w:p w14:paraId="2C780AEC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0.0264</w:t>
            </w:r>
          </w:p>
        </w:tc>
        <w:tc>
          <w:tcPr>
            <w:tcW w:w="0" w:type="auto"/>
          </w:tcPr>
          <w:p w14:paraId="1447BD92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PAPPA</w:t>
            </w:r>
          </w:p>
        </w:tc>
        <w:tc>
          <w:tcPr>
            <w:tcW w:w="0" w:type="auto"/>
          </w:tcPr>
          <w:p w14:paraId="1F405665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-0.925</w:t>
            </w:r>
          </w:p>
        </w:tc>
        <w:tc>
          <w:tcPr>
            <w:tcW w:w="0" w:type="auto"/>
          </w:tcPr>
          <w:p w14:paraId="023F17B1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0.00289</w:t>
            </w:r>
          </w:p>
        </w:tc>
      </w:tr>
      <w:tr w:rsidR="002C7EE2" w:rsidRPr="00055798" w14:paraId="14610831" w14:textId="77777777" w:rsidTr="00FD3B63">
        <w:tc>
          <w:tcPr>
            <w:tcW w:w="0" w:type="auto"/>
          </w:tcPr>
          <w:p w14:paraId="4D419280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679E08F9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34CB1572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6E0279D9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HBD</w:t>
            </w:r>
          </w:p>
        </w:tc>
        <w:tc>
          <w:tcPr>
            <w:tcW w:w="0" w:type="auto"/>
          </w:tcPr>
          <w:p w14:paraId="700965F3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-0.645</w:t>
            </w:r>
          </w:p>
        </w:tc>
        <w:tc>
          <w:tcPr>
            <w:tcW w:w="0" w:type="auto"/>
          </w:tcPr>
          <w:p w14:paraId="33991FAD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0.0228</w:t>
            </w:r>
          </w:p>
        </w:tc>
      </w:tr>
      <w:tr w:rsidR="002C7EE2" w:rsidRPr="00055798" w14:paraId="22A9C662" w14:textId="77777777" w:rsidTr="00FD3B63">
        <w:tc>
          <w:tcPr>
            <w:tcW w:w="0" w:type="auto"/>
          </w:tcPr>
          <w:p w14:paraId="6983F932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06FBD240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05BDA7FC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0" w:type="auto"/>
          </w:tcPr>
          <w:p w14:paraId="57E23401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IGKV2.28</w:t>
            </w:r>
          </w:p>
        </w:tc>
        <w:tc>
          <w:tcPr>
            <w:tcW w:w="0" w:type="auto"/>
          </w:tcPr>
          <w:p w14:paraId="1BF1F2D1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-0.993</w:t>
            </w:r>
          </w:p>
        </w:tc>
        <w:tc>
          <w:tcPr>
            <w:tcW w:w="0" w:type="auto"/>
          </w:tcPr>
          <w:p w14:paraId="2BFCF758" w14:textId="77777777" w:rsidR="002C7EE2" w:rsidRPr="00055798" w:rsidRDefault="002C7EE2" w:rsidP="00055798">
            <w:pPr>
              <w:rPr>
                <w:rFonts w:ascii="Arial" w:hAnsi="Arial" w:cs="Arial"/>
                <w:lang w:val="en-AU"/>
              </w:rPr>
            </w:pPr>
            <w:r w:rsidRPr="00055798">
              <w:rPr>
                <w:rFonts w:ascii="Arial" w:hAnsi="Arial" w:cs="Arial"/>
                <w:lang w:val="en-AU"/>
              </w:rPr>
              <w:t>0.0370</w:t>
            </w:r>
          </w:p>
        </w:tc>
      </w:tr>
    </w:tbl>
    <w:p w14:paraId="33498FF4" w14:textId="77777777" w:rsidR="00284848" w:rsidRPr="00055798" w:rsidRDefault="00284848" w:rsidP="00055798">
      <w:pPr>
        <w:rPr>
          <w:rFonts w:ascii="Arial" w:hAnsi="Arial" w:cs="Arial"/>
        </w:rPr>
      </w:pPr>
    </w:p>
    <w:p w14:paraId="12FE2D92" w14:textId="127049A5" w:rsidR="00284848" w:rsidRPr="00055798" w:rsidRDefault="00284848" w:rsidP="00055798">
      <w:pPr>
        <w:rPr>
          <w:rFonts w:ascii="Arial" w:hAnsi="Arial" w:cs="Arial"/>
        </w:rPr>
      </w:pPr>
      <w:r w:rsidRPr="00055798">
        <w:rPr>
          <w:rFonts w:ascii="Arial" w:hAnsi="Arial" w:cs="Arial"/>
          <w:b/>
          <w:bCs/>
        </w:rPr>
        <w:t>Conclusion</w:t>
      </w:r>
      <w:r w:rsidRPr="00055798">
        <w:rPr>
          <w:rFonts w:ascii="Arial" w:hAnsi="Arial" w:cs="Arial"/>
        </w:rPr>
        <w:t xml:space="preserve">: </w:t>
      </w:r>
      <w:r w:rsidR="00266177" w:rsidRPr="00055798">
        <w:rPr>
          <w:rFonts w:ascii="Arial" w:hAnsi="Arial" w:cs="Arial"/>
        </w:rPr>
        <w:t xml:space="preserve">A combination of </w:t>
      </w:r>
      <w:r w:rsidR="004E6C33" w:rsidRPr="00055798">
        <w:rPr>
          <w:rFonts w:ascii="Arial" w:hAnsi="Arial" w:cs="Arial"/>
        </w:rPr>
        <w:t>anthropometric measures of obesity</w:t>
      </w:r>
      <w:r w:rsidR="00266177" w:rsidRPr="00055798">
        <w:rPr>
          <w:rFonts w:ascii="Arial" w:hAnsi="Arial" w:cs="Arial"/>
        </w:rPr>
        <w:t xml:space="preserve"> and protein biomarkers may </w:t>
      </w:r>
      <w:r w:rsidR="00A55A84" w:rsidRPr="00055798">
        <w:rPr>
          <w:rFonts w:ascii="Arial" w:hAnsi="Arial" w:cs="Arial"/>
        </w:rPr>
        <w:t>help to identify women at risk of delivering</w:t>
      </w:r>
      <w:r w:rsidR="00A77022" w:rsidRPr="00055798">
        <w:rPr>
          <w:rFonts w:ascii="Arial" w:hAnsi="Arial" w:cs="Arial"/>
        </w:rPr>
        <w:t xml:space="preserve"> LGA neonates. </w:t>
      </w:r>
      <w:r w:rsidR="00A87808" w:rsidRPr="00055798">
        <w:rPr>
          <w:rFonts w:ascii="Arial" w:hAnsi="Arial" w:cs="Arial"/>
        </w:rPr>
        <w:t>Future</w:t>
      </w:r>
      <w:r w:rsidR="00A77022" w:rsidRPr="00055798">
        <w:rPr>
          <w:rFonts w:ascii="Arial" w:hAnsi="Arial" w:cs="Arial"/>
        </w:rPr>
        <w:t xml:space="preserve"> work should aim to confirm these findings using established laboratory-based measures to identify predictive thresholds</w:t>
      </w:r>
      <w:r w:rsidR="00D12F4C" w:rsidRPr="00055798">
        <w:rPr>
          <w:rFonts w:ascii="Arial" w:hAnsi="Arial" w:cs="Arial"/>
        </w:rPr>
        <w:t>, t</w:t>
      </w:r>
      <w:r w:rsidR="00A87808" w:rsidRPr="00055798">
        <w:rPr>
          <w:rFonts w:ascii="Arial" w:hAnsi="Arial" w:cs="Arial"/>
        </w:rPr>
        <w:t>hus allowing for more timely and targeted intervention</w:t>
      </w:r>
      <w:r w:rsidR="00D12F4C" w:rsidRPr="00055798">
        <w:rPr>
          <w:rFonts w:ascii="Arial" w:hAnsi="Arial" w:cs="Arial"/>
        </w:rPr>
        <w:t>s</w:t>
      </w:r>
      <w:r w:rsidR="00A87808" w:rsidRPr="00055798">
        <w:rPr>
          <w:rFonts w:ascii="Arial" w:hAnsi="Arial" w:cs="Arial"/>
        </w:rPr>
        <w:t>.</w:t>
      </w:r>
    </w:p>
    <w:p w14:paraId="0A2520DE" w14:textId="77777777" w:rsidR="00EA41AE" w:rsidRPr="00055798" w:rsidRDefault="00EA41AE" w:rsidP="00055798">
      <w:pPr>
        <w:rPr>
          <w:rFonts w:ascii="Arial" w:hAnsi="Arial" w:cs="Arial"/>
        </w:rPr>
      </w:pPr>
    </w:p>
    <w:p w14:paraId="6A91FA94" w14:textId="77777777" w:rsidR="008427FA" w:rsidRPr="00055798" w:rsidRDefault="008427FA" w:rsidP="00055798">
      <w:pPr>
        <w:rPr>
          <w:rFonts w:ascii="Arial" w:hAnsi="Arial" w:cs="Arial"/>
        </w:rPr>
      </w:pPr>
    </w:p>
    <w:p w14:paraId="15D657A2" w14:textId="25B0765C" w:rsidR="008427FA" w:rsidRPr="00055798" w:rsidRDefault="008427FA" w:rsidP="00055798">
      <w:pPr>
        <w:rPr>
          <w:rFonts w:ascii="Arial" w:hAnsi="Arial" w:cs="Arial"/>
          <w:highlight w:val="yellow"/>
        </w:rPr>
      </w:pPr>
    </w:p>
    <w:p w14:paraId="5AEC921B" w14:textId="77777777" w:rsidR="008427FA" w:rsidRPr="00055798" w:rsidRDefault="008427FA" w:rsidP="00055798">
      <w:pPr>
        <w:rPr>
          <w:rFonts w:ascii="Arial" w:hAnsi="Arial" w:cs="Arial"/>
        </w:rPr>
      </w:pPr>
    </w:p>
    <w:sectPr w:rsidR="008427FA" w:rsidRPr="00055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AD4"/>
    <w:multiLevelType w:val="hybridMultilevel"/>
    <w:tmpl w:val="68DE95E0"/>
    <w:lvl w:ilvl="0" w:tplc="C7CEE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3CE9"/>
    <w:rsid w:val="00055798"/>
    <w:rsid w:val="00070113"/>
    <w:rsid w:val="00093D4A"/>
    <w:rsid w:val="00266177"/>
    <w:rsid w:val="0028124D"/>
    <w:rsid w:val="00284848"/>
    <w:rsid w:val="002C23B1"/>
    <w:rsid w:val="002C7EE2"/>
    <w:rsid w:val="00376B39"/>
    <w:rsid w:val="00457C94"/>
    <w:rsid w:val="004E09DD"/>
    <w:rsid w:val="004E6C33"/>
    <w:rsid w:val="007244F0"/>
    <w:rsid w:val="007A763F"/>
    <w:rsid w:val="007D4067"/>
    <w:rsid w:val="00830A4D"/>
    <w:rsid w:val="008427FA"/>
    <w:rsid w:val="008952F0"/>
    <w:rsid w:val="008953CF"/>
    <w:rsid w:val="00921FF9"/>
    <w:rsid w:val="009829D7"/>
    <w:rsid w:val="009A582D"/>
    <w:rsid w:val="009D79DB"/>
    <w:rsid w:val="00A55A84"/>
    <w:rsid w:val="00A74D22"/>
    <w:rsid w:val="00A77022"/>
    <w:rsid w:val="00A85759"/>
    <w:rsid w:val="00A87808"/>
    <w:rsid w:val="00AC552F"/>
    <w:rsid w:val="00BA4056"/>
    <w:rsid w:val="00BC73E4"/>
    <w:rsid w:val="00C15066"/>
    <w:rsid w:val="00C70F14"/>
    <w:rsid w:val="00C91E24"/>
    <w:rsid w:val="00D12F4C"/>
    <w:rsid w:val="00D56368"/>
    <w:rsid w:val="00D61B73"/>
    <w:rsid w:val="00DD0D64"/>
    <w:rsid w:val="00E7100A"/>
    <w:rsid w:val="00EA41AE"/>
    <w:rsid w:val="00ED440A"/>
    <w:rsid w:val="00F605F6"/>
    <w:rsid w:val="00F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F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700C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12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www.w3.org/XML/1998/namespace"/>
    <ds:schemaRef ds:uri="9c8a2b7b-0bee-4c48-b0a6-23db8982d3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cab52c9b-ab33-4221-8af9-54f8f2b86a80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2AB567-2938-4584-B2C2-BF7C5600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2</cp:revision>
  <dcterms:created xsi:type="dcterms:W3CDTF">2025-05-23T05:52:00Z</dcterms:created>
  <dcterms:modified xsi:type="dcterms:W3CDTF">2025-05-23T05:52:00Z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