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769E" w14:textId="07091E4C" w:rsidR="00133DAE" w:rsidRDefault="00133DAE" w:rsidP="00133DAE">
      <w:pPr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sz w:val="22"/>
          <w:szCs w:val="22"/>
        </w:rPr>
      </w:pPr>
      <w:r w:rsidRPr="00C00458">
        <w:rPr>
          <w:rFonts w:ascii="Arial" w:hAnsi="Arial" w:cs="Arial"/>
          <w:b/>
          <w:bCs/>
          <w:sz w:val="22"/>
          <w:szCs w:val="22"/>
        </w:rPr>
        <w:t>Integrating Education and Quality Improvement Within the Diabetes Alliance Program</w:t>
      </w:r>
      <w:r w:rsidR="00C46F50" w:rsidRPr="00C00458">
        <w:rPr>
          <w:rFonts w:ascii="Arial" w:hAnsi="Arial" w:cs="Arial"/>
          <w:b/>
          <w:bCs/>
          <w:sz w:val="22"/>
          <w:szCs w:val="22"/>
        </w:rPr>
        <w:t xml:space="preserve"> Plus</w:t>
      </w:r>
      <w:r w:rsidRPr="00C00458">
        <w:rPr>
          <w:rFonts w:ascii="Arial" w:hAnsi="Arial" w:cs="Arial"/>
          <w:b/>
          <w:bCs/>
          <w:sz w:val="22"/>
          <w:szCs w:val="22"/>
        </w:rPr>
        <w:t xml:space="preserve"> to Improve Diabetes Care in General Practice</w:t>
      </w:r>
    </w:p>
    <w:p w14:paraId="0D353FD2" w14:textId="77777777" w:rsidR="007E5171" w:rsidRDefault="00C00458" w:rsidP="007E5171">
      <w:pPr>
        <w:pStyle w:val="NormalWeb"/>
        <w:rPr>
          <w:rStyle w:val="Strong"/>
          <w:rFonts w:ascii="Arial" w:eastAsiaTheme="majorEastAsia" w:hAnsi="Arial" w:cs="Arial"/>
          <w:sz w:val="22"/>
          <w:szCs w:val="22"/>
        </w:rPr>
      </w:pPr>
      <w:r w:rsidRPr="00C00458">
        <w:rPr>
          <w:rStyle w:val="Strong"/>
          <w:rFonts w:ascii="Arial" w:eastAsiaTheme="majorEastAsia" w:hAnsi="Arial" w:cs="Arial"/>
          <w:sz w:val="22"/>
          <w:szCs w:val="22"/>
        </w:rPr>
        <w:t>Background and Aim</w:t>
      </w:r>
    </w:p>
    <w:p w14:paraId="1C1D12B8" w14:textId="22801477" w:rsidR="00C00458" w:rsidRPr="00C00458" w:rsidRDefault="00C00458" w:rsidP="007E517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0458">
        <w:rPr>
          <w:rFonts w:ascii="Arial" w:hAnsi="Arial" w:cs="Arial"/>
          <w:sz w:val="22"/>
          <w:szCs w:val="22"/>
        </w:rPr>
        <w:t xml:space="preserve">The Diabetes Alliance Program Plus (DAP+) was developed to </w:t>
      </w:r>
      <w:r w:rsidRPr="00C0045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strengthen diabetes care</w:t>
      </w:r>
      <w:r w:rsidRPr="00C00458">
        <w:rPr>
          <w:rFonts w:ascii="Arial" w:hAnsi="Arial" w:cs="Arial"/>
          <w:b/>
          <w:bCs/>
          <w:sz w:val="22"/>
          <w:szCs w:val="22"/>
        </w:rPr>
        <w:t xml:space="preserve"> in</w:t>
      </w:r>
      <w:r w:rsidRPr="00C00458">
        <w:rPr>
          <w:rFonts w:ascii="Arial" w:hAnsi="Arial" w:cs="Arial"/>
          <w:sz w:val="22"/>
          <w:szCs w:val="22"/>
        </w:rPr>
        <w:t xml:space="preserve"> general practice through an integrated model combining multidisciplinary case conferencing, structured clinician education, and data-driven quality improvement (QI). This evaluation examines the uptake, acceptability, and early impact of lunch-time education and QI activities embedded within DAP+ case conferencing clinics, with a focus on improving care for people living with diabetes.</w:t>
      </w:r>
    </w:p>
    <w:p w14:paraId="7AC00E52" w14:textId="77777777" w:rsidR="00C00458" w:rsidRDefault="00C00458" w:rsidP="00C00458">
      <w:pPr>
        <w:pStyle w:val="NormalWeb"/>
        <w:rPr>
          <w:rStyle w:val="Strong"/>
          <w:rFonts w:ascii="Arial" w:eastAsiaTheme="majorEastAsia" w:hAnsi="Arial" w:cs="Arial"/>
          <w:sz w:val="22"/>
          <w:szCs w:val="22"/>
        </w:rPr>
      </w:pPr>
      <w:r w:rsidRPr="00C00458">
        <w:rPr>
          <w:rStyle w:val="Strong"/>
          <w:rFonts w:ascii="Arial" w:eastAsiaTheme="majorEastAsia" w:hAnsi="Arial" w:cs="Arial"/>
          <w:sz w:val="22"/>
          <w:szCs w:val="22"/>
        </w:rPr>
        <w:t>Methods</w:t>
      </w:r>
    </w:p>
    <w:p w14:paraId="2263CBAD" w14:textId="4B514B3C" w:rsidR="00C00458" w:rsidRPr="00C00458" w:rsidRDefault="00C00458" w:rsidP="00C00458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00458">
        <w:rPr>
          <w:rFonts w:ascii="Arial" w:hAnsi="Arial" w:cs="Arial"/>
          <w:sz w:val="22"/>
          <w:szCs w:val="22"/>
        </w:rPr>
        <w:t>AP+ is implemented across general practices within the Hunter New England Local Health District (HNE</w:t>
      </w:r>
      <w:r w:rsidR="007E5171">
        <w:rPr>
          <w:rFonts w:ascii="Arial" w:hAnsi="Arial" w:cs="Arial"/>
          <w:sz w:val="22"/>
          <w:szCs w:val="22"/>
        </w:rPr>
        <w:t xml:space="preserve">- </w:t>
      </w:r>
      <w:r w:rsidRPr="00C00458">
        <w:rPr>
          <w:rFonts w:ascii="Arial" w:hAnsi="Arial" w:cs="Arial"/>
          <w:sz w:val="22"/>
          <w:szCs w:val="22"/>
        </w:rPr>
        <w:t xml:space="preserve">LHD). During each practice’s case conferencing day, a structured lunch-time education and feedback session is delivered to the practice team. De-identified </w:t>
      </w:r>
      <w:proofErr w:type="spellStart"/>
      <w:r w:rsidRPr="00C00458">
        <w:rPr>
          <w:rFonts w:ascii="Arial" w:hAnsi="Arial" w:cs="Arial"/>
          <w:sz w:val="22"/>
          <w:szCs w:val="22"/>
        </w:rPr>
        <w:t>PenCAT</w:t>
      </w:r>
      <w:proofErr w:type="spellEnd"/>
      <w:r w:rsidRPr="00C00458">
        <w:rPr>
          <w:rFonts w:ascii="Arial" w:hAnsi="Arial" w:cs="Arial"/>
          <w:sz w:val="22"/>
          <w:szCs w:val="22"/>
        </w:rPr>
        <w:t xml:space="preserve"> audit reports are reviewed</w:t>
      </w:r>
      <w:r>
        <w:rPr>
          <w:rFonts w:ascii="Arial" w:hAnsi="Arial" w:cs="Arial"/>
          <w:sz w:val="22"/>
          <w:szCs w:val="22"/>
        </w:rPr>
        <w:t xml:space="preserve">, </w:t>
      </w:r>
      <w:r w:rsidRPr="00C00458">
        <w:rPr>
          <w:rFonts w:ascii="Arial" w:hAnsi="Arial" w:cs="Arial"/>
          <w:sz w:val="22"/>
          <w:szCs w:val="22"/>
        </w:rPr>
        <w:t>identify</w:t>
      </w:r>
      <w:r>
        <w:rPr>
          <w:rFonts w:ascii="Arial" w:hAnsi="Arial" w:cs="Arial"/>
          <w:sz w:val="22"/>
          <w:szCs w:val="22"/>
        </w:rPr>
        <w:t xml:space="preserve">ing </w:t>
      </w:r>
      <w:r w:rsidRPr="00C00458">
        <w:rPr>
          <w:rFonts w:ascii="Arial" w:hAnsi="Arial" w:cs="Arial"/>
          <w:sz w:val="22"/>
          <w:szCs w:val="22"/>
        </w:rPr>
        <w:t xml:space="preserve"> gaps in care, and practices select priority QI activities tailored to their patient cohort. These actions are embedded into routine workflows. Six-month follow-up clinics include repeat case conferencing and review of updated data. Program uptake, clinician engagement, and evaluation feedback are being collected, with data collection ongoing.</w:t>
      </w:r>
    </w:p>
    <w:p w14:paraId="085877C0" w14:textId="77777777" w:rsidR="007E5171" w:rsidRDefault="00C00458" w:rsidP="00C00458">
      <w:pPr>
        <w:pStyle w:val="NormalWeb"/>
        <w:rPr>
          <w:rStyle w:val="Strong"/>
          <w:rFonts w:ascii="Arial" w:eastAsiaTheme="majorEastAsia" w:hAnsi="Arial" w:cs="Arial"/>
          <w:sz w:val="22"/>
          <w:szCs w:val="22"/>
        </w:rPr>
      </w:pPr>
      <w:r w:rsidRPr="00C00458">
        <w:rPr>
          <w:rStyle w:val="Strong"/>
          <w:rFonts w:ascii="Arial" w:eastAsiaTheme="majorEastAsia" w:hAnsi="Arial" w:cs="Arial"/>
          <w:sz w:val="22"/>
          <w:szCs w:val="22"/>
        </w:rPr>
        <w:t>Results</w:t>
      </w:r>
    </w:p>
    <w:p w14:paraId="6989737A" w14:textId="736D3557" w:rsidR="00C00458" w:rsidRPr="00C00458" w:rsidRDefault="00C00458" w:rsidP="00C00458">
      <w:pPr>
        <w:pStyle w:val="NormalWeb"/>
        <w:rPr>
          <w:rFonts w:ascii="Arial" w:hAnsi="Arial" w:cs="Arial"/>
          <w:sz w:val="22"/>
          <w:szCs w:val="22"/>
        </w:rPr>
      </w:pPr>
      <w:r w:rsidRPr="00C00458">
        <w:rPr>
          <w:rFonts w:ascii="Arial" w:hAnsi="Arial" w:cs="Arial"/>
          <w:sz w:val="22"/>
          <w:szCs w:val="22"/>
        </w:rPr>
        <w:t xml:space="preserve">In 2025 alone, over </w:t>
      </w:r>
      <w:r w:rsidRPr="00C0045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220 clinicians across the HNE LHD participated</w:t>
      </w:r>
      <w:r w:rsidRPr="00C004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0458">
        <w:rPr>
          <w:rFonts w:ascii="Arial" w:hAnsi="Arial" w:cs="Arial"/>
          <w:sz w:val="22"/>
          <w:szCs w:val="22"/>
        </w:rPr>
        <w:t xml:space="preserve">in DAP+ case conferencing clinics with integrated lunch-time education and QI activities. Early findings demonstrate strong uptake and high acceptability. Since evaluation commenced, all participating GPs (100%, n=9) and Practice Nurses (100%, n=3) reported increased confidence in managing diabetes. The lunch-time session received a mean satisfaction rating of </w:t>
      </w:r>
      <w:r w:rsidRPr="00C0045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9.7/10 (n=14)</w:t>
      </w:r>
      <w:r w:rsidRPr="00C00458">
        <w:rPr>
          <w:rFonts w:ascii="Arial" w:hAnsi="Arial" w:cs="Arial"/>
          <w:b/>
          <w:bCs/>
          <w:sz w:val="22"/>
          <w:szCs w:val="22"/>
        </w:rPr>
        <w:t>.</w:t>
      </w:r>
      <w:r w:rsidRPr="00C00458">
        <w:rPr>
          <w:rFonts w:ascii="Arial" w:hAnsi="Arial" w:cs="Arial"/>
          <w:sz w:val="22"/>
          <w:szCs w:val="22"/>
        </w:rPr>
        <w:t xml:space="preserve"> Most clinicians reported increased capacity to initiate insulin therapy (10/14) and optimise other diabetes medications (11/14), supporting </w:t>
      </w:r>
      <w:r w:rsidRPr="00C00458">
        <w:rPr>
          <w:rFonts w:ascii="Arial" w:hAnsi="Arial" w:cs="Arial"/>
          <w:sz w:val="22"/>
          <w:szCs w:val="22"/>
        </w:rPr>
        <w:t>timelier</w:t>
      </w:r>
      <w:r w:rsidRPr="00C00458">
        <w:rPr>
          <w:rFonts w:ascii="Arial" w:hAnsi="Arial" w:cs="Arial"/>
          <w:sz w:val="22"/>
          <w:szCs w:val="22"/>
        </w:rPr>
        <w:t xml:space="preserve"> guideline-based care. Six-month </w:t>
      </w:r>
      <w:proofErr w:type="spellStart"/>
      <w:r w:rsidRPr="00C00458">
        <w:rPr>
          <w:rFonts w:ascii="Arial" w:hAnsi="Arial" w:cs="Arial"/>
          <w:sz w:val="22"/>
          <w:szCs w:val="22"/>
        </w:rPr>
        <w:t>PenCAT</w:t>
      </w:r>
      <w:proofErr w:type="spellEnd"/>
      <w:r w:rsidRPr="00C00458">
        <w:rPr>
          <w:rFonts w:ascii="Arial" w:hAnsi="Arial" w:cs="Arial"/>
          <w:sz w:val="22"/>
          <w:szCs w:val="22"/>
        </w:rPr>
        <w:t xml:space="preserve"> review demonstrated sustained engagement with selected QI priorities and continued</w:t>
      </w:r>
      <w:r w:rsidR="007E5171">
        <w:rPr>
          <w:rFonts w:ascii="Arial" w:hAnsi="Arial" w:cs="Arial"/>
          <w:sz w:val="22"/>
          <w:szCs w:val="22"/>
        </w:rPr>
        <w:t xml:space="preserve"> goals to </w:t>
      </w:r>
      <w:r w:rsidRPr="00C00458">
        <w:rPr>
          <w:rFonts w:ascii="Arial" w:hAnsi="Arial" w:cs="Arial"/>
          <w:sz w:val="22"/>
          <w:szCs w:val="22"/>
        </w:rPr>
        <w:t>improve regular clinical monitoring.</w:t>
      </w:r>
    </w:p>
    <w:p w14:paraId="129CEA72" w14:textId="77777777" w:rsidR="007E5171" w:rsidRDefault="00C00458" w:rsidP="007E5171">
      <w:pPr>
        <w:pStyle w:val="NormalWeb"/>
        <w:rPr>
          <w:rStyle w:val="Strong"/>
          <w:rFonts w:ascii="Arial" w:eastAsiaTheme="majorEastAsia" w:hAnsi="Arial" w:cs="Arial"/>
          <w:sz w:val="22"/>
          <w:szCs w:val="22"/>
        </w:rPr>
      </w:pPr>
      <w:r w:rsidRPr="00C00458">
        <w:rPr>
          <w:rStyle w:val="Strong"/>
          <w:rFonts w:ascii="Arial" w:eastAsiaTheme="majorEastAsia" w:hAnsi="Arial" w:cs="Arial"/>
          <w:sz w:val="22"/>
          <w:szCs w:val="22"/>
        </w:rPr>
        <w:t>Conclusion</w:t>
      </w:r>
    </w:p>
    <w:p w14:paraId="59200209" w14:textId="2C0FEA6B" w:rsidR="00C00458" w:rsidRPr="007E5171" w:rsidRDefault="00C00458" w:rsidP="007E5171">
      <w:pPr>
        <w:pStyle w:val="NormalWeb"/>
        <w:rPr>
          <w:rFonts w:ascii="Arial" w:eastAsiaTheme="majorEastAsia" w:hAnsi="Arial" w:cs="Arial"/>
          <w:b/>
          <w:bCs/>
          <w:sz w:val="2"/>
          <w:szCs w:val="2"/>
        </w:rPr>
      </w:pPr>
      <w:r w:rsidRPr="00C00458">
        <w:rPr>
          <w:rFonts w:ascii="Arial" w:hAnsi="Arial" w:cs="Arial"/>
          <w:sz w:val="22"/>
          <w:szCs w:val="22"/>
        </w:rPr>
        <w:t xml:space="preserve">Embedding structured education and practice-specific QI within case conferencing clinics is a feasible and acceptable approach to strengthening diabetes care in general practice. The DAP+ model enhances clinician confidence, builds medication management capability, and supports quality improvement, </w:t>
      </w:r>
      <w:r w:rsidRPr="00C0045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supporting more consistent, high-quality diabetes care for patients across the</w:t>
      </w:r>
      <w:r w:rsidR="007E5171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 HNE-LHD. </w:t>
      </w:r>
    </w:p>
    <w:p w14:paraId="2CB91606" w14:textId="77777777" w:rsidR="007C3E65" w:rsidRPr="00C00458" w:rsidRDefault="007C3E65" w:rsidP="007C3E65">
      <w:pPr>
        <w:pStyle w:val="NormalWeb"/>
        <w:rPr>
          <w:rStyle w:val="Strong"/>
          <w:rFonts w:ascii="Arial" w:eastAsiaTheme="majorEastAsia" w:hAnsi="Arial" w:cs="Arial"/>
          <w:sz w:val="22"/>
          <w:szCs w:val="22"/>
        </w:rPr>
      </w:pPr>
    </w:p>
    <w:p w14:paraId="2353B790" w14:textId="77777777" w:rsidR="007C3E65" w:rsidRDefault="007C3E65" w:rsidP="007C3E65">
      <w:pPr>
        <w:pStyle w:val="NormalWeb"/>
        <w:rPr>
          <w:rStyle w:val="Strong"/>
          <w:rFonts w:asciiTheme="minorHAnsi" w:eastAsiaTheme="majorEastAsia" w:hAnsiTheme="minorHAnsi"/>
        </w:rPr>
      </w:pPr>
    </w:p>
    <w:p w14:paraId="249C276A" w14:textId="77777777" w:rsidR="007C3E65" w:rsidRDefault="007C3E65" w:rsidP="007C3E65">
      <w:pPr>
        <w:pStyle w:val="NormalWeb"/>
        <w:rPr>
          <w:rStyle w:val="Strong"/>
          <w:rFonts w:asciiTheme="minorHAnsi" w:eastAsiaTheme="majorEastAsia" w:hAnsiTheme="minorHAnsi"/>
        </w:rPr>
      </w:pPr>
    </w:p>
    <w:sectPr w:rsidR="007C3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AE"/>
    <w:rsid w:val="00133DAE"/>
    <w:rsid w:val="001837F2"/>
    <w:rsid w:val="001D10DD"/>
    <w:rsid w:val="002C6301"/>
    <w:rsid w:val="00390754"/>
    <w:rsid w:val="00393491"/>
    <w:rsid w:val="006863FF"/>
    <w:rsid w:val="006E25A9"/>
    <w:rsid w:val="006F0400"/>
    <w:rsid w:val="006F777F"/>
    <w:rsid w:val="007C3E65"/>
    <w:rsid w:val="007E5171"/>
    <w:rsid w:val="00894A33"/>
    <w:rsid w:val="008B38E6"/>
    <w:rsid w:val="00A35CE6"/>
    <w:rsid w:val="00B3204F"/>
    <w:rsid w:val="00C00458"/>
    <w:rsid w:val="00C3239D"/>
    <w:rsid w:val="00C46F50"/>
    <w:rsid w:val="00F3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591E"/>
  <w15:chartTrackingRefBased/>
  <w15:docId w15:val="{366A8842-0955-4D27-A321-87DD1D27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D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7C3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Ross-Evans</dc:creator>
  <cp:keywords/>
  <dc:description/>
  <cp:lastModifiedBy>Sharon Ross-Evans</cp:lastModifiedBy>
  <cp:revision>2</cp:revision>
  <dcterms:created xsi:type="dcterms:W3CDTF">2026-03-13T02:15:00Z</dcterms:created>
  <dcterms:modified xsi:type="dcterms:W3CDTF">2026-03-13T02:15:00Z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2026-01-12T23:14:20Z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2970a3b0-a8bd-488b-bf52-78ee1a28bf49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</Properties>
</file>