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906D24D" w:rsidR="001564A4" w:rsidRPr="0050053A" w:rsidRDefault="005840E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The genetic landscape of familial </w:t>
            </w:r>
            <w:r w:rsidR="003E35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interstitial lung disease (ILD) is similar to sporadic idiopathic pulmonary fibrosis (IPF)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CCECC62" w:rsidR="001564A4" w:rsidRPr="00413B94" w:rsidRDefault="00F94D6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Sionne EM Lucas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Kelsie Raspin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John Mackintosh</w:t>
            </w:r>
            <w:r w:rsidRPr="00194FF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Ian Glaspole</w:t>
            </w:r>
            <w:r w:rsidRPr="0022307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4,5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Paul N Reynolds</w:t>
            </w:r>
            <w:r w:rsidRPr="008605C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6,7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Lauren Troy</w:t>
            </w:r>
            <w:r w:rsidRPr="00851AB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8,9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David A Schwartz</w:t>
            </w:r>
            <w:r w:rsidRPr="009B24C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Richard Wood-Baker</w:t>
            </w:r>
            <w:r w:rsidRPr="006754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Simon LF Walsh</w:t>
            </w:r>
            <w:r w:rsidRPr="00ED2F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Yuben Moodley</w:t>
            </w:r>
            <w:r w:rsidRPr="00ED2F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13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,14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Eugene H Walters</w:t>
            </w:r>
            <w:r w:rsidRPr="00842E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1,11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8F6E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Australian IPF Registry Steering Committee,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Daniel Chambers</w:t>
            </w:r>
            <w:r w:rsidRPr="00842E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Tamera J Corte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8,9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Jo Dickinson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EF700FE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Menzies Institute for Medical Research, University of Tasmania, TAS, Australia</w:t>
            </w:r>
          </w:p>
          <w:p w14:paraId="74EDE743" w14:textId="7249B811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5613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The University of Queensland, QLD, Australia</w:t>
            </w:r>
          </w:p>
          <w:p w14:paraId="65CDF11F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C2EA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 Lung Transplant Service, Department of Thoracic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Medicine, The Prince Charles Hospital, QLD,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</w:t>
            </w:r>
          </w:p>
          <w:p w14:paraId="28A80ECD" w14:textId="0D712465" w:rsidR="00F94D60" w:rsidRDefault="00F94D60" w:rsidP="00E77F5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="00E77F5D" w:rsidRPr="00E77F5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Alfred Health, VIC, Australia</w:t>
            </w:r>
          </w:p>
          <w:p w14:paraId="524C8E76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D0AE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t xml:space="preserve"> </w:t>
            </w:r>
            <w:r w:rsidRPr="00631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Monash University, VIC, Australia</w:t>
            </w:r>
          </w:p>
          <w:p w14:paraId="5E02235A" w14:textId="77777777" w:rsidR="00F94D60" w:rsidRPr="008605CE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605C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8605C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Adelaide Hospital, SA, Australia</w:t>
            </w:r>
          </w:p>
          <w:p w14:paraId="13130F69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605C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8605C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 of Adelaide, SA, Australia</w:t>
            </w:r>
          </w:p>
          <w:p w14:paraId="5D42EF35" w14:textId="77777777" w:rsidR="00F94D60" w:rsidRPr="00444A39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754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444A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Royal Prince Alfred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444A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Hospital, NSW, Australia</w:t>
            </w:r>
          </w:p>
          <w:p w14:paraId="6BDFA9B4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754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444A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Medicine, The University of Sydney, NSW, Australia</w:t>
            </w:r>
          </w:p>
          <w:p w14:paraId="7E7E5C57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E32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9B24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University of Colorado Anschutz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9B24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Medical Campus, CO, USA</w:t>
            </w:r>
          </w:p>
          <w:p w14:paraId="50A982D8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E32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67540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Tasmanian School of Medicine, University of Tasmania, TAS, Australia</w:t>
            </w:r>
          </w:p>
          <w:p w14:paraId="120D8172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E32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ED2F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Heart and Lung Institute, Imperial College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ED2F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London, England, UK</w:t>
            </w:r>
          </w:p>
          <w:p w14:paraId="2B2BB840" w14:textId="77777777" w:rsidR="00F94D60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E32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653DE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Western Australia, Institute for Respiratory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653DE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Health, WA, Australia</w:t>
            </w:r>
          </w:p>
          <w:p w14:paraId="45ED36BF" w14:textId="47482DD1" w:rsidR="001564A4" w:rsidRPr="0050053A" w:rsidRDefault="00F94D60" w:rsidP="00F94D6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E32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14</w:t>
            </w:r>
            <w:r>
              <w:t xml:space="preserve"> </w:t>
            </w:r>
            <w:r w:rsidRPr="00653DE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Fiona Stanley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653DE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Hospital, WA, Australia</w:t>
            </w:r>
          </w:p>
        </w:tc>
      </w:tr>
      <w:tr w:rsidR="001564A4" w:rsidRPr="0050053A" w14:paraId="6DAF615A" w14:textId="77777777" w:rsidTr="00F94D60">
        <w:trPr>
          <w:trHeight w:hRule="exact" w:val="7386"/>
          <w:jc w:val="center"/>
        </w:trPr>
        <w:tc>
          <w:tcPr>
            <w:tcW w:w="8640" w:type="dxa"/>
            <w:shd w:val="clear" w:color="auto" w:fill="auto"/>
          </w:tcPr>
          <w:p w14:paraId="3D770CF7" w14:textId="3A5BFB49" w:rsidR="001564A4" w:rsidRPr="005C439D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bookmarkStart w:id="1" w:name="_Hlk148365125"/>
            <w:r w:rsidR="0048744C">
              <w:rPr>
                <w:rStyle w:val="A4"/>
              </w:rPr>
              <w:t>The</w:t>
            </w:r>
            <w:r w:rsidR="003A0E9B">
              <w:rPr>
                <w:rStyle w:val="A4"/>
              </w:rPr>
              <w:t xml:space="preserve"> identification </w:t>
            </w:r>
            <w:r w:rsidR="0048744C" w:rsidRPr="0048744C">
              <w:rPr>
                <w:rStyle w:val="A4"/>
              </w:rPr>
              <w:t>of rare and common</w:t>
            </w:r>
            <w:r w:rsidR="00437882">
              <w:rPr>
                <w:rStyle w:val="A4"/>
              </w:rPr>
              <w:t xml:space="preserve"> genetic</w:t>
            </w:r>
            <w:r w:rsidR="0048744C" w:rsidRPr="0048744C">
              <w:rPr>
                <w:rStyle w:val="A4"/>
              </w:rPr>
              <w:t xml:space="preserve"> </w:t>
            </w:r>
            <w:r w:rsidR="00D5156C" w:rsidRPr="0048744C">
              <w:rPr>
                <w:rStyle w:val="A4"/>
              </w:rPr>
              <w:t>variati</w:t>
            </w:r>
            <w:r w:rsidR="00D5156C">
              <w:rPr>
                <w:rStyle w:val="A4"/>
              </w:rPr>
              <w:t xml:space="preserve">on </w:t>
            </w:r>
            <w:r w:rsidR="00437882">
              <w:rPr>
                <w:rStyle w:val="A4"/>
              </w:rPr>
              <w:t>in</w:t>
            </w:r>
            <w:r w:rsidR="0048744C" w:rsidRPr="0048744C">
              <w:rPr>
                <w:rStyle w:val="A4"/>
              </w:rPr>
              <w:t xml:space="preserve"> </w:t>
            </w:r>
            <w:r w:rsidR="003A0E9B">
              <w:rPr>
                <w:rStyle w:val="A4"/>
              </w:rPr>
              <w:t xml:space="preserve">ILD, including </w:t>
            </w:r>
            <w:r w:rsidR="0048744C" w:rsidRPr="0048744C">
              <w:rPr>
                <w:rStyle w:val="A4"/>
              </w:rPr>
              <w:t>IPF</w:t>
            </w:r>
            <w:r w:rsidR="003A0E9B">
              <w:rPr>
                <w:rStyle w:val="A4"/>
              </w:rPr>
              <w:t xml:space="preserve">, is of increasing </w:t>
            </w:r>
            <w:r w:rsidR="003A0E9B" w:rsidRPr="0048744C">
              <w:rPr>
                <w:rStyle w:val="A4"/>
              </w:rPr>
              <w:t>clinical significance</w:t>
            </w:r>
            <w:r w:rsidR="00C80B2E">
              <w:rPr>
                <w:rStyle w:val="A4"/>
              </w:rPr>
              <w:t xml:space="preserve">. </w:t>
            </w:r>
            <w:r w:rsidR="003A0E9B">
              <w:rPr>
                <w:rStyle w:val="A4"/>
              </w:rPr>
              <w:t>S</w:t>
            </w:r>
            <w:r w:rsidR="00C80B2E">
              <w:rPr>
                <w:rStyle w:val="A4"/>
              </w:rPr>
              <w:t xml:space="preserve">poradic and familial disease are thought to represent different ends of the spectrum </w:t>
            </w:r>
            <w:r w:rsidR="003A0E9B">
              <w:rPr>
                <w:rStyle w:val="A4"/>
              </w:rPr>
              <w:t xml:space="preserve">regarding </w:t>
            </w:r>
            <w:r w:rsidR="00C80B2E">
              <w:rPr>
                <w:rStyle w:val="A4"/>
              </w:rPr>
              <w:t xml:space="preserve">the relative contribution of common and rare </w:t>
            </w:r>
            <w:r w:rsidR="009025E4">
              <w:rPr>
                <w:rStyle w:val="A4"/>
              </w:rPr>
              <w:t xml:space="preserve">genetic </w:t>
            </w:r>
            <w:r w:rsidR="00C80B2E">
              <w:rPr>
                <w:rStyle w:val="A4"/>
              </w:rPr>
              <w:t>variants.</w:t>
            </w:r>
            <w:r w:rsidR="00655F3E">
              <w:rPr>
                <w:rStyle w:val="A4"/>
              </w:rPr>
              <w:t xml:space="preserve"> </w:t>
            </w:r>
            <w:r w:rsidR="003E355C">
              <w:rPr>
                <w:rStyle w:val="A4"/>
              </w:rPr>
              <w:t>This</w:t>
            </w:r>
            <w:r w:rsidR="00C80B2E">
              <w:rPr>
                <w:rStyle w:val="A4"/>
              </w:rPr>
              <w:t xml:space="preserve"> study aimed to </w:t>
            </w:r>
            <w:r w:rsidR="00081802">
              <w:rPr>
                <w:sz w:val="22"/>
                <w:szCs w:val="22"/>
              </w:rPr>
              <w:t>explore genetic variation in</w:t>
            </w:r>
            <w:r w:rsidR="005C439D" w:rsidRPr="005C439D">
              <w:rPr>
                <w:sz w:val="22"/>
                <w:szCs w:val="22"/>
              </w:rPr>
              <w:t xml:space="preserve"> </w:t>
            </w:r>
            <w:r w:rsidR="0026122C">
              <w:rPr>
                <w:sz w:val="22"/>
                <w:szCs w:val="22"/>
              </w:rPr>
              <w:t xml:space="preserve">a </w:t>
            </w:r>
            <w:r w:rsidR="005C439D" w:rsidRPr="005C439D">
              <w:rPr>
                <w:sz w:val="22"/>
                <w:szCs w:val="22"/>
              </w:rPr>
              <w:t xml:space="preserve">familial </w:t>
            </w:r>
            <w:r w:rsidR="0026122C">
              <w:rPr>
                <w:sz w:val="22"/>
                <w:szCs w:val="22"/>
              </w:rPr>
              <w:t>ILD</w:t>
            </w:r>
            <w:r w:rsidR="003A0E9B">
              <w:rPr>
                <w:sz w:val="22"/>
                <w:szCs w:val="22"/>
              </w:rPr>
              <w:t xml:space="preserve"> (</w:t>
            </w:r>
            <w:proofErr w:type="spellStart"/>
            <w:r w:rsidR="003A0E9B">
              <w:rPr>
                <w:sz w:val="22"/>
                <w:szCs w:val="22"/>
              </w:rPr>
              <w:t>fILD</w:t>
            </w:r>
            <w:proofErr w:type="spellEnd"/>
            <w:r w:rsidR="003A0E9B">
              <w:rPr>
                <w:sz w:val="22"/>
                <w:szCs w:val="22"/>
              </w:rPr>
              <w:t>)</w:t>
            </w:r>
            <w:r w:rsidR="005C439D" w:rsidRPr="005C439D">
              <w:rPr>
                <w:sz w:val="22"/>
                <w:szCs w:val="22"/>
              </w:rPr>
              <w:t xml:space="preserve"> cohort.</w:t>
            </w:r>
            <w:bookmarkEnd w:id="1"/>
          </w:p>
          <w:p w14:paraId="5029BAE6" w14:textId="6AC22769" w:rsidR="001564A4" w:rsidRPr="00D52AA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D52AA6">
              <w:rPr>
                <w:rStyle w:val="A4"/>
              </w:rPr>
              <w:t>G</w:t>
            </w:r>
            <w:r w:rsidR="00025748">
              <w:rPr>
                <w:sz w:val="22"/>
                <w:szCs w:val="22"/>
              </w:rPr>
              <w:t xml:space="preserve">enome sequencing </w:t>
            </w:r>
            <w:r w:rsidR="00081802">
              <w:rPr>
                <w:sz w:val="22"/>
                <w:szCs w:val="22"/>
              </w:rPr>
              <w:t>data for</w:t>
            </w:r>
            <w:r w:rsidR="00025748">
              <w:rPr>
                <w:sz w:val="22"/>
                <w:szCs w:val="22"/>
              </w:rPr>
              <w:t xml:space="preserve"> 84 affected and </w:t>
            </w:r>
            <w:r w:rsidR="005840EF">
              <w:rPr>
                <w:sz w:val="22"/>
                <w:szCs w:val="22"/>
              </w:rPr>
              <w:t>12</w:t>
            </w:r>
            <w:r w:rsidR="00025748">
              <w:rPr>
                <w:sz w:val="22"/>
                <w:szCs w:val="22"/>
              </w:rPr>
              <w:t xml:space="preserve"> unaffected relatives from 55 Australian families with </w:t>
            </w:r>
            <w:proofErr w:type="spellStart"/>
            <w:r w:rsidR="00025748">
              <w:rPr>
                <w:sz w:val="22"/>
                <w:szCs w:val="22"/>
              </w:rPr>
              <w:t>fILD</w:t>
            </w:r>
            <w:proofErr w:type="spellEnd"/>
            <w:r w:rsidR="00081802">
              <w:rPr>
                <w:sz w:val="22"/>
                <w:szCs w:val="22"/>
              </w:rPr>
              <w:t xml:space="preserve"> were interrogated to identify rare variants in 37 known IPF genes. Variants</w:t>
            </w:r>
            <w:r w:rsidR="005C439D">
              <w:rPr>
                <w:sz w:val="22"/>
                <w:szCs w:val="22"/>
              </w:rPr>
              <w:t xml:space="preserve"> </w:t>
            </w:r>
            <w:r w:rsidR="005840EF">
              <w:rPr>
                <w:sz w:val="22"/>
                <w:szCs w:val="22"/>
              </w:rPr>
              <w:t>that</w:t>
            </w:r>
            <w:r w:rsidR="003A0E9B">
              <w:rPr>
                <w:sz w:val="22"/>
                <w:szCs w:val="22"/>
              </w:rPr>
              <w:t xml:space="preserve"> a) </w:t>
            </w:r>
            <w:r w:rsidR="00B819F4">
              <w:rPr>
                <w:sz w:val="22"/>
                <w:szCs w:val="22"/>
              </w:rPr>
              <w:t>segregat</w:t>
            </w:r>
            <w:r w:rsidR="005840EF">
              <w:rPr>
                <w:sz w:val="22"/>
                <w:szCs w:val="22"/>
              </w:rPr>
              <w:t>ed</w:t>
            </w:r>
            <w:r w:rsidR="005C439D">
              <w:rPr>
                <w:sz w:val="22"/>
                <w:szCs w:val="22"/>
              </w:rPr>
              <w:t xml:space="preserve"> with disease</w:t>
            </w:r>
            <w:r w:rsidR="00451C3A">
              <w:rPr>
                <w:sz w:val="22"/>
                <w:szCs w:val="22"/>
              </w:rPr>
              <w:t>,</w:t>
            </w:r>
            <w:r w:rsidR="00B819F4">
              <w:rPr>
                <w:sz w:val="22"/>
                <w:szCs w:val="22"/>
              </w:rPr>
              <w:t xml:space="preserve"> </w:t>
            </w:r>
            <w:r w:rsidR="003A0E9B">
              <w:rPr>
                <w:sz w:val="22"/>
                <w:szCs w:val="22"/>
              </w:rPr>
              <w:t>b) had</w:t>
            </w:r>
            <w:r w:rsidR="00B819F4">
              <w:rPr>
                <w:sz w:val="22"/>
                <w:szCs w:val="22"/>
              </w:rPr>
              <w:t xml:space="preserve"> </w:t>
            </w:r>
            <w:r w:rsidR="009025E4">
              <w:rPr>
                <w:sz w:val="22"/>
                <w:szCs w:val="22"/>
              </w:rPr>
              <w:t xml:space="preserve">a </w:t>
            </w:r>
            <w:r w:rsidR="00B819F4">
              <w:rPr>
                <w:sz w:val="22"/>
                <w:szCs w:val="22"/>
              </w:rPr>
              <w:t xml:space="preserve">minor allele frequency </w:t>
            </w:r>
            <w:r w:rsidR="005C439D">
              <w:rPr>
                <w:sz w:val="22"/>
                <w:szCs w:val="22"/>
              </w:rPr>
              <w:t>&lt;</w:t>
            </w:r>
            <w:r w:rsidR="00B819F4">
              <w:rPr>
                <w:sz w:val="22"/>
                <w:szCs w:val="22"/>
              </w:rPr>
              <w:t xml:space="preserve">0.01 in </w:t>
            </w:r>
            <w:r w:rsidR="00081802">
              <w:rPr>
                <w:sz w:val="22"/>
                <w:szCs w:val="22"/>
              </w:rPr>
              <w:t>the general population</w:t>
            </w:r>
            <w:r w:rsidR="00451C3A">
              <w:rPr>
                <w:sz w:val="22"/>
                <w:szCs w:val="22"/>
              </w:rPr>
              <w:t>,</w:t>
            </w:r>
            <w:r w:rsidR="00B819F4">
              <w:rPr>
                <w:sz w:val="22"/>
                <w:szCs w:val="22"/>
              </w:rPr>
              <w:t xml:space="preserve"> </w:t>
            </w:r>
            <w:r w:rsidR="00081802">
              <w:rPr>
                <w:sz w:val="22"/>
                <w:szCs w:val="22"/>
              </w:rPr>
              <w:t>and</w:t>
            </w:r>
            <w:r w:rsidR="003A0E9B">
              <w:rPr>
                <w:sz w:val="22"/>
                <w:szCs w:val="22"/>
              </w:rPr>
              <w:t xml:space="preserve"> c)</w:t>
            </w:r>
            <w:r w:rsidR="00081802">
              <w:rPr>
                <w:sz w:val="22"/>
                <w:szCs w:val="22"/>
              </w:rPr>
              <w:t xml:space="preserve"> </w:t>
            </w:r>
            <w:r w:rsidR="009025E4">
              <w:rPr>
                <w:sz w:val="22"/>
                <w:szCs w:val="22"/>
              </w:rPr>
              <w:t xml:space="preserve">were </w:t>
            </w:r>
            <w:r w:rsidR="00081802">
              <w:rPr>
                <w:sz w:val="22"/>
                <w:szCs w:val="22"/>
              </w:rPr>
              <w:t xml:space="preserve">predicted to be deleterious using </w:t>
            </w:r>
            <w:r w:rsidR="00081802" w:rsidRPr="00081802">
              <w:rPr>
                <w:i/>
                <w:iCs/>
                <w:sz w:val="22"/>
                <w:szCs w:val="22"/>
              </w:rPr>
              <w:t>in silico</w:t>
            </w:r>
            <w:r w:rsidR="00081802">
              <w:rPr>
                <w:sz w:val="22"/>
                <w:szCs w:val="22"/>
              </w:rPr>
              <w:t xml:space="preserve"> tools</w:t>
            </w:r>
            <w:r w:rsidR="003A0E9B">
              <w:rPr>
                <w:sz w:val="22"/>
                <w:szCs w:val="22"/>
              </w:rPr>
              <w:t>,</w:t>
            </w:r>
            <w:r w:rsidR="005C439D">
              <w:rPr>
                <w:sz w:val="22"/>
                <w:szCs w:val="22"/>
              </w:rPr>
              <w:t xml:space="preserve"> </w:t>
            </w:r>
            <w:r w:rsidR="005840EF">
              <w:rPr>
                <w:sz w:val="22"/>
                <w:szCs w:val="22"/>
              </w:rPr>
              <w:t xml:space="preserve">were curated using </w:t>
            </w:r>
            <w:r w:rsidR="001306E3">
              <w:rPr>
                <w:sz w:val="22"/>
                <w:szCs w:val="22"/>
              </w:rPr>
              <w:t>international</w:t>
            </w:r>
            <w:r w:rsidR="005840EF">
              <w:rPr>
                <w:sz w:val="22"/>
                <w:szCs w:val="22"/>
              </w:rPr>
              <w:t xml:space="preserve"> guidelines</w:t>
            </w:r>
            <w:r w:rsidR="00437373">
              <w:rPr>
                <w:sz w:val="22"/>
                <w:szCs w:val="22"/>
              </w:rPr>
              <w:t xml:space="preserve"> </w:t>
            </w:r>
            <w:r w:rsidR="003A0E9B">
              <w:rPr>
                <w:sz w:val="22"/>
                <w:szCs w:val="22"/>
              </w:rPr>
              <w:t>for</w:t>
            </w:r>
            <w:r w:rsidR="00437373">
              <w:rPr>
                <w:sz w:val="22"/>
                <w:szCs w:val="22"/>
              </w:rPr>
              <w:t xml:space="preserve"> identify</w:t>
            </w:r>
            <w:r w:rsidR="003A0E9B">
              <w:rPr>
                <w:sz w:val="22"/>
                <w:szCs w:val="22"/>
              </w:rPr>
              <w:t>ing</w:t>
            </w:r>
            <w:r w:rsidR="00437373">
              <w:rPr>
                <w:sz w:val="22"/>
                <w:szCs w:val="22"/>
              </w:rPr>
              <w:t xml:space="preserve"> disease-causing variants</w:t>
            </w:r>
            <w:r w:rsidR="00B819F4">
              <w:rPr>
                <w:sz w:val="22"/>
                <w:szCs w:val="22"/>
              </w:rPr>
              <w:t>.</w:t>
            </w:r>
            <w:r w:rsidR="005840EF">
              <w:rPr>
                <w:sz w:val="22"/>
                <w:szCs w:val="22"/>
              </w:rPr>
              <w:t xml:space="preserve"> </w:t>
            </w:r>
            <w:r w:rsidR="003A0E9B">
              <w:rPr>
                <w:sz w:val="22"/>
                <w:szCs w:val="22"/>
              </w:rPr>
              <w:t>A</w:t>
            </w:r>
            <w:r w:rsidR="00025748">
              <w:rPr>
                <w:sz w:val="22"/>
                <w:szCs w:val="22"/>
              </w:rPr>
              <w:t xml:space="preserve"> polygenic risk score </w:t>
            </w:r>
            <w:r w:rsidR="005840EF">
              <w:rPr>
                <w:sz w:val="22"/>
                <w:szCs w:val="22"/>
              </w:rPr>
              <w:t>(PRS)</w:t>
            </w:r>
            <w:r w:rsidR="003A0E9B">
              <w:rPr>
                <w:sz w:val="22"/>
                <w:szCs w:val="22"/>
              </w:rPr>
              <w:t xml:space="preserve"> was</w:t>
            </w:r>
            <w:r w:rsidR="00025748">
              <w:rPr>
                <w:sz w:val="22"/>
                <w:szCs w:val="22"/>
              </w:rPr>
              <w:t xml:space="preserve"> generated using 16 common</w:t>
            </w:r>
            <w:r w:rsidR="003A0E9B">
              <w:rPr>
                <w:sz w:val="22"/>
                <w:szCs w:val="22"/>
              </w:rPr>
              <w:t xml:space="preserve"> IPF</w:t>
            </w:r>
            <w:r w:rsidR="00025748">
              <w:rPr>
                <w:sz w:val="22"/>
                <w:szCs w:val="22"/>
              </w:rPr>
              <w:t xml:space="preserve"> variants</w:t>
            </w:r>
            <w:r w:rsidR="003A0E9B">
              <w:rPr>
                <w:sz w:val="22"/>
                <w:szCs w:val="22"/>
              </w:rPr>
              <w:t xml:space="preserve"> and applied to study populations</w:t>
            </w:r>
            <w:r w:rsidR="005840EF">
              <w:rPr>
                <w:sz w:val="22"/>
                <w:szCs w:val="22"/>
              </w:rPr>
              <w:t xml:space="preserve">. PRS in </w:t>
            </w:r>
            <w:r w:rsidR="009B28F7">
              <w:rPr>
                <w:sz w:val="22"/>
                <w:szCs w:val="22"/>
              </w:rPr>
              <w:t>84</w:t>
            </w:r>
            <w:r w:rsidR="005840EF">
              <w:rPr>
                <w:sz w:val="22"/>
                <w:szCs w:val="22"/>
              </w:rPr>
              <w:t xml:space="preserve"> familial </w:t>
            </w:r>
            <w:r w:rsidR="009B28F7">
              <w:rPr>
                <w:sz w:val="22"/>
                <w:szCs w:val="22"/>
              </w:rPr>
              <w:t>cases was</w:t>
            </w:r>
            <w:r w:rsidR="005840EF">
              <w:rPr>
                <w:sz w:val="22"/>
                <w:szCs w:val="22"/>
              </w:rPr>
              <w:t xml:space="preserve"> </w:t>
            </w:r>
            <w:r w:rsidR="00025748">
              <w:rPr>
                <w:sz w:val="22"/>
                <w:szCs w:val="22"/>
              </w:rPr>
              <w:t>compared to</w:t>
            </w:r>
            <w:r w:rsidR="005C439D">
              <w:rPr>
                <w:sz w:val="22"/>
                <w:szCs w:val="22"/>
              </w:rPr>
              <w:t xml:space="preserve"> population controls</w:t>
            </w:r>
            <w:r w:rsidR="003A0E9B">
              <w:rPr>
                <w:sz w:val="22"/>
                <w:szCs w:val="22"/>
              </w:rPr>
              <w:t xml:space="preserve"> (n=404),</w:t>
            </w:r>
            <w:r w:rsidR="005C439D">
              <w:rPr>
                <w:sz w:val="22"/>
                <w:szCs w:val="22"/>
              </w:rPr>
              <w:t xml:space="preserve"> and </w:t>
            </w:r>
            <w:r w:rsidR="00E14C8B" w:rsidRPr="00293143">
              <w:rPr>
                <w:sz w:val="22"/>
                <w:szCs w:val="22"/>
              </w:rPr>
              <w:t>Australian IPF Registry</w:t>
            </w:r>
            <w:r w:rsidR="003A0E9B">
              <w:rPr>
                <w:sz w:val="22"/>
                <w:szCs w:val="22"/>
              </w:rPr>
              <w:t xml:space="preserve"> participants</w:t>
            </w:r>
            <w:r w:rsidR="00E14C8B" w:rsidRPr="00293143">
              <w:rPr>
                <w:sz w:val="22"/>
                <w:szCs w:val="22"/>
              </w:rPr>
              <w:t xml:space="preserve"> </w:t>
            </w:r>
            <w:r w:rsidR="00081802">
              <w:rPr>
                <w:sz w:val="22"/>
                <w:szCs w:val="22"/>
              </w:rPr>
              <w:t>(</w:t>
            </w:r>
            <w:r w:rsidR="00E14C8B" w:rsidRPr="00293143">
              <w:rPr>
                <w:sz w:val="22"/>
                <w:szCs w:val="22"/>
              </w:rPr>
              <w:t xml:space="preserve">TaqMan </w:t>
            </w:r>
            <w:r w:rsidR="009025E4">
              <w:rPr>
                <w:sz w:val="22"/>
                <w:szCs w:val="22"/>
              </w:rPr>
              <w:t>genotyping</w:t>
            </w:r>
            <w:r w:rsidR="009025E4" w:rsidRPr="00293143">
              <w:rPr>
                <w:sz w:val="22"/>
                <w:szCs w:val="22"/>
              </w:rPr>
              <w:t xml:space="preserve"> </w:t>
            </w:r>
            <w:r w:rsidR="00E14C8B" w:rsidRPr="00293143">
              <w:rPr>
                <w:sz w:val="22"/>
                <w:szCs w:val="22"/>
              </w:rPr>
              <w:t>or direct sequencing)</w:t>
            </w:r>
            <w:r w:rsidR="003A0E9B">
              <w:rPr>
                <w:sz w:val="22"/>
                <w:szCs w:val="22"/>
              </w:rPr>
              <w:t>,</w:t>
            </w:r>
            <w:r w:rsidR="00E14C8B">
              <w:rPr>
                <w:sz w:val="22"/>
                <w:szCs w:val="22"/>
              </w:rPr>
              <w:t xml:space="preserve"> including </w:t>
            </w:r>
            <w:r w:rsidR="00025748">
              <w:rPr>
                <w:sz w:val="22"/>
                <w:szCs w:val="22"/>
              </w:rPr>
              <w:t>indivi</w:t>
            </w:r>
            <w:r w:rsidR="00025748" w:rsidRPr="00293143">
              <w:rPr>
                <w:sz w:val="22"/>
                <w:szCs w:val="22"/>
              </w:rPr>
              <w:t xml:space="preserve">duals </w:t>
            </w:r>
            <w:r w:rsidR="003A0E9B">
              <w:rPr>
                <w:sz w:val="22"/>
                <w:szCs w:val="22"/>
              </w:rPr>
              <w:t>with</w:t>
            </w:r>
            <w:r w:rsidR="00E40130" w:rsidRPr="00293143">
              <w:rPr>
                <w:sz w:val="22"/>
                <w:szCs w:val="22"/>
              </w:rPr>
              <w:t xml:space="preserve"> family history </w:t>
            </w:r>
            <w:r w:rsidR="00E40130">
              <w:rPr>
                <w:sz w:val="22"/>
                <w:szCs w:val="22"/>
              </w:rPr>
              <w:t>(R-FH</w:t>
            </w:r>
            <w:r w:rsidR="003A0E9B">
              <w:rPr>
                <w:sz w:val="22"/>
                <w:szCs w:val="22"/>
              </w:rPr>
              <w:t>, n=42</w:t>
            </w:r>
            <w:r w:rsidR="00E40130">
              <w:rPr>
                <w:sz w:val="22"/>
                <w:szCs w:val="22"/>
              </w:rPr>
              <w:t>)</w:t>
            </w:r>
            <w:r w:rsidR="00E14C8B">
              <w:rPr>
                <w:sz w:val="22"/>
                <w:szCs w:val="22"/>
              </w:rPr>
              <w:t>,</w:t>
            </w:r>
            <w:r w:rsidR="00025748" w:rsidRPr="00293143">
              <w:rPr>
                <w:sz w:val="22"/>
                <w:szCs w:val="22"/>
              </w:rPr>
              <w:t xml:space="preserve"> and </w:t>
            </w:r>
            <w:r w:rsidR="00E40130">
              <w:rPr>
                <w:sz w:val="22"/>
                <w:szCs w:val="22"/>
              </w:rPr>
              <w:t>sporadic</w:t>
            </w:r>
            <w:r w:rsidR="003A0E9B">
              <w:rPr>
                <w:sz w:val="22"/>
                <w:szCs w:val="22"/>
              </w:rPr>
              <w:t xml:space="preserve"> cases (n=284</w:t>
            </w:r>
            <w:r w:rsidR="00E40130">
              <w:rPr>
                <w:sz w:val="22"/>
                <w:szCs w:val="22"/>
              </w:rPr>
              <w:t>)</w:t>
            </w:r>
            <w:r w:rsidR="00E14C8B">
              <w:rPr>
                <w:sz w:val="22"/>
                <w:szCs w:val="22"/>
              </w:rPr>
              <w:t>.</w:t>
            </w:r>
            <w:r w:rsidR="00315CDF">
              <w:rPr>
                <w:sz w:val="22"/>
                <w:szCs w:val="22"/>
              </w:rPr>
              <w:t xml:space="preserve"> </w:t>
            </w:r>
            <w:r w:rsidR="00F55331">
              <w:rPr>
                <w:sz w:val="22"/>
                <w:szCs w:val="22"/>
              </w:rPr>
              <w:t>A</w:t>
            </w:r>
            <w:r w:rsidR="00D52AA6" w:rsidRPr="00315CDF">
              <w:rPr>
                <w:sz w:val="22"/>
                <w:szCs w:val="22"/>
              </w:rPr>
              <w:t xml:space="preserve"> one-way ANOVA</w:t>
            </w:r>
            <w:r w:rsidR="00D52AA6">
              <w:rPr>
                <w:sz w:val="22"/>
                <w:szCs w:val="22"/>
              </w:rPr>
              <w:t xml:space="preserve"> with</w:t>
            </w:r>
            <w:r w:rsidR="00D52AA6" w:rsidRPr="00315CDF">
              <w:rPr>
                <w:sz w:val="22"/>
                <w:szCs w:val="22"/>
              </w:rPr>
              <w:t xml:space="preserve"> a Tukey HSD test </w:t>
            </w:r>
            <w:r w:rsidR="00D52AA6">
              <w:rPr>
                <w:sz w:val="22"/>
                <w:szCs w:val="22"/>
              </w:rPr>
              <w:t xml:space="preserve">was </w:t>
            </w:r>
            <w:r w:rsidR="003A0E9B">
              <w:rPr>
                <w:sz w:val="22"/>
                <w:szCs w:val="22"/>
              </w:rPr>
              <w:t>performed</w:t>
            </w:r>
            <w:r w:rsidR="00315CDF" w:rsidRPr="00315CDF">
              <w:rPr>
                <w:sz w:val="22"/>
                <w:szCs w:val="22"/>
              </w:rPr>
              <w:t>.</w:t>
            </w:r>
          </w:p>
          <w:p w14:paraId="057AD077" w14:textId="4C55940D" w:rsidR="005C439D" w:rsidRDefault="001564A4" w:rsidP="000A28E2">
            <w:pPr>
              <w:pStyle w:val="Pa12"/>
              <w:rPr>
                <w:sz w:val="22"/>
                <w:szCs w:val="22"/>
              </w:rPr>
            </w:pPr>
            <w:r w:rsidRPr="00293143">
              <w:rPr>
                <w:rStyle w:val="A4"/>
                <w:b/>
                <w:bCs/>
              </w:rPr>
              <w:t xml:space="preserve">Results: </w:t>
            </w:r>
            <w:r w:rsidR="00293143" w:rsidRPr="00293143">
              <w:rPr>
                <w:sz w:val="22"/>
                <w:szCs w:val="22"/>
              </w:rPr>
              <w:t xml:space="preserve">Four families (7.3%) </w:t>
            </w:r>
            <w:r w:rsidR="00451C3A" w:rsidRPr="00293143">
              <w:rPr>
                <w:sz w:val="22"/>
                <w:szCs w:val="22"/>
              </w:rPr>
              <w:t>harbour</w:t>
            </w:r>
            <w:r w:rsidR="00F94D60">
              <w:rPr>
                <w:sz w:val="22"/>
                <w:szCs w:val="22"/>
              </w:rPr>
              <w:t>ed</w:t>
            </w:r>
            <w:r w:rsidR="00293143" w:rsidRPr="00293143">
              <w:rPr>
                <w:sz w:val="22"/>
                <w:szCs w:val="22"/>
              </w:rPr>
              <w:t xml:space="preserve"> a </w:t>
            </w:r>
            <w:r w:rsidR="00674A30">
              <w:rPr>
                <w:sz w:val="22"/>
                <w:szCs w:val="22"/>
              </w:rPr>
              <w:t>disease</w:t>
            </w:r>
            <w:r w:rsidR="00D52AA6">
              <w:rPr>
                <w:sz w:val="22"/>
                <w:szCs w:val="22"/>
              </w:rPr>
              <w:t>-causing variant</w:t>
            </w:r>
            <w:r w:rsidR="009025E4">
              <w:rPr>
                <w:sz w:val="22"/>
                <w:szCs w:val="22"/>
              </w:rPr>
              <w:t>,</w:t>
            </w:r>
            <w:r w:rsidR="00293143" w:rsidRPr="00293143">
              <w:rPr>
                <w:sz w:val="22"/>
                <w:szCs w:val="22"/>
              </w:rPr>
              <w:t xml:space="preserve"> and a further </w:t>
            </w:r>
            <w:r w:rsidR="001867A4">
              <w:rPr>
                <w:sz w:val="22"/>
                <w:szCs w:val="22"/>
              </w:rPr>
              <w:t>seven</w:t>
            </w:r>
            <w:r w:rsidR="00293143" w:rsidRPr="00293143">
              <w:rPr>
                <w:sz w:val="22"/>
                <w:szCs w:val="22"/>
              </w:rPr>
              <w:t xml:space="preserve"> families</w:t>
            </w:r>
            <w:r w:rsidR="003A0E9B">
              <w:rPr>
                <w:sz w:val="22"/>
                <w:szCs w:val="22"/>
              </w:rPr>
              <w:t xml:space="preserve"> (12.7%) </w:t>
            </w:r>
            <w:r w:rsidR="00293143" w:rsidRPr="00293143">
              <w:rPr>
                <w:sz w:val="22"/>
                <w:szCs w:val="22"/>
              </w:rPr>
              <w:t xml:space="preserve">carried a </w:t>
            </w:r>
            <w:r w:rsidR="001306E3">
              <w:rPr>
                <w:sz w:val="22"/>
                <w:szCs w:val="22"/>
              </w:rPr>
              <w:t>potentially</w:t>
            </w:r>
            <w:r w:rsidR="00674A30">
              <w:rPr>
                <w:sz w:val="22"/>
                <w:szCs w:val="22"/>
              </w:rPr>
              <w:t xml:space="preserve"> </w:t>
            </w:r>
            <w:r w:rsidR="00D52AA6">
              <w:rPr>
                <w:sz w:val="22"/>
                <w:szCs w:val="22"/>
              </w:rPr>
              <w:t>disease-</w:t>
            </w:r>
            <w:r w:rsidR="00674A30">
              <w:rPr>
                <w:sz w:val="22"/>
                <w:szCs w:val="22"/>
              </w:rPr>
              <w:t>caus</w:t>
            </w:r>
            <w:r w:rsidR="00D52AA6">
              <w:rPr>
                <w:sz w:val="22"/>
                <w:szCs w:val="22"/>
              </w:rPr>
              <w:t>ing</w:t>
            </w:r>
            <w:r w:rsidR="00451C3A">
              <w:rPr>
                <w:sz w:val="22"/>
                <w:szCs w:val="22"/>
              </w:rPr>
              <w:t xml:space="preserve"> variant</w:t>
            </w:r>
            <w:r w:rsidR="00293143" w:rsidRPr="00293143">
              <w:rPr>
                <w:sz w:val="22"/>
                <w:szCs w:val="22"/>
              </w:rPr>
              <w:t xml:space="preserve">. </w:t>
            </w:r>
            <w:r w:rsidR="001306E3">
              <w:rPr>
                <w:sz w:val="22"/>
                <w:szCs w:val="22"/>
              </w:rPr>
              <w:t xml:space="preserve">This included five </w:t>
            </w:r>
            <w:r w:rsidR="003A0E9B" w:rsidRPr="00F94D60">
              <w:rPr>
                <w:i/>
                <w:iCs/>
                <w:sz w:val="22"/>
                <w:szCs w:val="22"/>
              </w:rPr>
              <w:t>TERT</w:t>
            </w:r>
            <w:r w:rsidR="003A0E9B">
              <w:rPr>
                <w:sz w:val="22"/>
                <w:szCs w:val="22"/>
              </w:rPr>
              <w:t xml:space="preserve"> </w:t>
            </w:r>
            <w:r w:rsidR="005C439D">
              <w:rPr>
                <w:sz w:val="22"/>
                <w:szCs w:val="22"/>
              </w:rPr>
              <w:t>variants</w:t>
            </w:r>
            <w:r w:rsidR="00293143" w:rsidRPr="00293143">
              <w:rPr>
                <w:sz w:val="22"/>
                <w:szCs w:val="22"/>
              </w:rPr>
              <w:t xml:space="preserve">, five in </w:t>
            </w:r>
            <w:r w:rsidR="00293143" w:rsidRPr="00293143">
              <w:rPr>
                <w:i/>
                <w:iCs/>
                <w:sz w:val="22"/>
                <w:szCs w:val="22"/>
              </w:rPr>
              <w:t>RTEL1</w:t>
            </w:r>
            <w:r w:rsidR="00293143" w:rsidRPr="00293143">
              <w:rPr>
                <w:sz w:val="22"/>
                <w:szCs w:val="22"/>
              </w:rPr>
              <w:t xml:space="preserve"> and one in </w:t>
            </w:r>
            <w:r w:rsidR="00293143" w:rsidRPr="00293143">
              <w:rPr>
                <w:i/>
                <w:iCs/>
                <w:sz w:val="22"/>
                <w:szCs w:val="22"/>
              </w:rPr>
              <w:t>SFTPA2</w:t>
            </w:r>
            <w:r w:rsidR="00293143" w:rsidRPr="00293143">
              <w:rPr>
                <w:sz w:val="22"/>
                <w:szCs w:val="22"/>
              </w:rPr>
              <w:t>.</w:t>
            </w:r>
            <w:r w:rsidR="005C439D">
              <w:rPr>
                <w:sz w:val="22"/>
                <w:szCs w:val="22"/>
              </w:rPr>
              <w:t xml:space="preserve"> </w:t>
            </w:r>
          </w:p>
          <w:p w14:paraId="68537800" w14:textId="6753339A" w:rsidR="001564A4" w:rsidRPr="00315CDF" w:rsidRDefault="003A0E9B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No </w:t>
            </w:r>
            <w:r w:rsidR="00315CDF">
              <w:rPr>
                <w:sz w:val="22"/>
                <w:szCs w:val="22"/>
              </w:rPr>
              <w:t>significan</w:t>
            </w:r>
            <w:r>
              <w:rPr>
                <w:sz w:val="22"/>
                <w:szCs w:val="22"/>
              </w:rPr>
              <w:t>t</w:t>
            </w:r>
            <w:r w:rsidR="00315CDF">
              <w:rPr>
                <w:sz w:val="22"/>
                <w:szCs w:val="22"/>
              </w:rPr>
              <w:t xml:space="preserve"> differen</w:t>
            </w:r>
            <w:r>
              <w:rPr>
                <w:sz w:val="22"/>
                <w:szCs w:val="22"/>
              </w:rPr>
              <w:t>ces</w:t>
            </w:r>
            <w:r w:rsidR="00315CDF">
              <w:rPr>
                <w:sz w:val="22"/>
                <w:szCs w:val="22"/>
              </w:rPr>
              <w:t xml:space="preserve"> between </w:t>
            </w:r>
            <w:r>
              <w:rPr>
                <w:sz w:val="22"/>
                <w:szCs w:val="22"/>
              </w:rPr>
              <w:t xml:space="preserve">PRS were seen in </w:t>
            </w:r>
            <w:r w:rsidR="00315CDF">
              <w:rPr>
                <w:sz w:val="22"/>
                <w:szCs w:val="22"/>
              </w:rPr>
              <w:t>patient groups</w:t>
            </w:r>
            <w:r>
              <w:rPr>
                <w:sz w:val="22"/>
                <w:szCs w:val="22"/>
              </w:rPr>
              <w:t>: familial:</w:t>
            </w:r>
            <w:r w:rsidR="00315CDF">
              <w:rPr>
                <w:sz w:val="22"/>
                <w:szCs w:val="22"/>
              </w:rPr>
              <w:t xml:space="preserve"> </w:t>
            </w:r>
            <w:r w:rsidR="005C439D">
              <w:rPr>
                <w:sz w:val="22"/>
                <w:szCs w:val="22"/>
              </w:rPr>
              <w:t>0.59±1.01</w:t>
            </w:r>
            <w:r w:rsidR="00E40130">
              <w:rPr>
                <w:sz w:val="22"/>
                <w:szCs w:val="22"/>
              </w:rPr>
              <w:t xml:space="preserve"> (</w:t>
            </w:r>
            <w:r w:rsidR="005C439D">
              <w:rPr>
                <w:sz w:val="22"/>
                <w:szCs w:val="22"/>
              </w:rPr>
              <w:t>SD</w:t>
            </w:r>
            <w:r w:rsidR="00E4013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 R-FH:</w:t>
            </w:r>
            <w:r w:rsidR="00E40130">
              <w:rPr>
                <w:sz w:val="22"/>
                <w:szCs w:val="22"/>
              </w:rPr>
              <w:t xml:space="preserve"> 0.56±1.14</w:t>
            </w:r>
            <w:r>
              <w:rPr>
                <w:sz w:val="22"/>
                <w:szCs w:val="22"/>
              </w:rPr>
              <w:t>;</w:t>
            </w:r>
            <w:r w:rsidR="00E401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sporadic: </w:t>
            </w:r>
            <w:r w:rsidR="00E40130">
              <w:rPr>
                <w:sz w:val="22"/>
                <w:szCs w:val="22"/>
              </w:rPr>
              <w:t>0.41±1.13</w:t>
            </w:r>
            <w:r>
              <w:rPr>
                <w:sz w:val="22"/>
                <w:szCs w:val="22"/>
              </w:rPr>
              <w:t>.</w:t>
            </w:r>
            <w:r w:rsidR="00E40130">
              <w:rPr>
                <w:sz w:val="22"/>
                <w:szCs w:val="22"/>
              </w:rPr>
              <w:t xml:space="preserve"> </w:t>
            </w:r>
            <w:r w:rsidR="00F94D60">
              <w:rPr>
                <w:sz w:val="22"/>
                <w:szCs w:val="22"/>
              </w:rPr>
              <w:t>However, the PRS for a</w:t>
            </w:r>
            <w:r w:rsidR="00315CDF">
              <w:rPr>
                <w:sz w:val="22"/>
                <w:szCs w:val="22"/>
              </w:rPr>
              <w:t xml:space="preserve">ll </w:t>
            </w:r>
            <w:r w:rsidR="001867A4">
              <w:rPr>
                <w:sz w:val="22"/>
                <w:szCs w:val="22"/>
              </w:rPr>
              <w:t>patient group</w:t>
            </w:r>
            <w:r w:rsidR="00F94D60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were</w:t>
            </w:r>
            <w:r w:rsidR="001867A4">
              <w:rPr>
                <w:sz w:val="22"/>
                <w:szCs w:val="22"/>
              </w:rPr>
              <w:t xml:space="preserve"> </w:t>
            </w:r>
            <w:r w:rsidR="00293143" w:rsidRPr="00293143">
              <w:rPr>
                <w:sz w:val="22"/>
                <w:szCs w:val="22"/>
              </w:rPr>
              <w:t xml:space="preserve">significantly higher </w:t>
            </w:r>
            <w:r>
              <w:rPr>
                <w:sz w:val="22"/>
                <w:szCs w:val="22"/>
              </w:rPr>
              <w:t>than</w:t>
            </w:r>
            <w:r w:rsidR="00293143" w:rsidRPr="00293143">
              <w:rPr>
                <w:sz w:val="22"/>
                <w:szCs w:val="22"/>
              </w:rPr>
              <w:t xml:space="preserve"> population controls (</w:t>
            </w:r>
            <w:r w:rsidR="00315CDF">
              <w:rPr>
                <w:sz w:val="22"/>
                <w:szCs w:val="22"/>
              </w:rPr>
              <w:t xml:space="preserve">-0.69±0.94; </w:t>
            </w:r>
            <w:r w:rsidR="00293143" w:rsidRPr="00293143">
              <w:rPr>
                <w:sz w:val="22"/>
                <w:szCs w:val="22"/>
              </w:rPr>
              <w:t>p&lt;1x10</w:t>
            </w:r>
            <w:r w:rsidR="00293143" w:rsidRPr="00F94D60">
              <w:rPr>
                <w:sz w:val="22"/>
                <w:szCs w:val="22"/>
                <w:vertAlign w:val="superscript"/>
              </w:rPr>
              <w:t>-5</w:t>
            </w:r>
            <w:r w:rsidR="00293143" w:rsidRPr="00293143">
              <w:rPr>
                <w:sz w:val="22"/>
                <w:szCs w:val="22"/>
              </w:rPr>
              <w:t>)</w:t>
            </w:r>
            <w:r w:rsidR="005C439D">
              <w:rPr>
                <w:sz w:val="22"/>
                <w:szCs w:val="22"/>
              </w:rPr>
              <w:t>.</w:t>
            </w:r>
            <w:r w:rsidR="001867A4">
              <w:rPr>
                <w:sz w:val="22"/>
                <w:szCs w:val="22"/>
              </w:rPr>
              <w:t xml:space="preserve"> From</w:t>
            </w:r>
            <w:r>
              <w:rPr>
                <w:sz w:val="22"/>
                <w:szCs w:val="22"/>
              </w:rPr>
              <w:t xml:space="preserve"> </w:t>
            </w:r>
            <w:r w:rsidR="001867A4">
              <w:rPr>
                <w:sz w:val="22"/>
                <w:szCs w:val="22"/>
              </w:rPr>
              <w:t xml:space="preserve">the </w:t>
            </w:r>
            <w:r w:rsidR="00CF135C">
              <w:rPr>
                <w:sz w:val="22"/>
                <w:szCs w:val="22"/>
              </w:rPr>
              <w:t xml:space="preserve">11 </w:t>
            </w:r>
            <w:r w:rsidR="001867A4">
              <w:rPr>
                <w:sz w:val="22"/>
                <w:szCs w:val="22"/>
              </w:rPr>
              <w:t>families with</w:t>
            </w:r>
            <w:r w:rsidR="003E355C">
              <w:rPr>
                <w:sz w:val="22"/>
                <w:szCs w:val="22"/>
              </w:rPr>
              <w:t xml:space="preserve"> </w:t>
            </w:r>
            <w:r w:rsidR="001867A4">
              <w:rPr>
                <w:sz w:val="22"/>
                <w:szCs w:val="22"/>
              </w:rPr>
              <w:t>(</w:t>
            </w:r>
            <w:r w:rsidR="001306E3">
              <w:rPr>
                <w:sz w:val="22"/>
                <w:szCs w:val="22"/>
              </w:rPr>
              <w:t>potentially</w:t>
            </w:r>
            <w:r w:rsidR="001867A4">
              <w:rPr>
                <w:sz w:val="22"/>
                <w:szCs w:val="22"/>
              </w:rPr>
              <w:t>) disease-</w:t>
            </w:r>
            <w:r w:rsidR="004D551C">
              <w:rPr>
                <w:sz w:val="22"/>
                <w:szCs w:val="22"/>
              </w:rPr>
              <w:t>causing</w:t>
            </w:r>
            <w:r w:rsidR="001867A4">
              <w:rPr>
                <w:sz w:val="22"/>
                <w:szCs w:val="22"/>
              </w:rPr>
              <w:t xml:space="preserve"> variants, </w:t>
            </w:r>
            <w:r w:rsidR="00EE2D14">
              <w:rPr>
                <w:sz w:val="22"/>
                <w:szCs w:val="22"/>
              </w:rPr>
              <w:t>12/16</w:t>
            </w:r>
            <w:r>
              <w:rPr>
                <w:sz w:val="22"/>
                <w:szCs w:val="22"/>
              </w:rPr>
              <w:t xml:space="preserve"> (75%)</w:t>
            </w:r>
            <w:r w:rsidR="00EE2D14">
              <w:rPr>
                <w:sz w:val="22"/>
                <w:szCs w:val="22"/>
              </w:rPr>
              <w:t xml:space="preserve"> of </w:t>
            </w:r>
            <w:r w:rsidR="009025E4">
              <w:rPr>
                <w:sz w:val="22"/>
                <w:szCs w:val="22"/>
              </w:rPr>
              <w:t xml:space="preserve">the </w:t>
            </w:r>
            <w:r w:rsidR="00EE2D14">
              <w:rPr>
                <w:sz w:val="22"/>
                <w:szCs w:val="22"/>
              </w:rPr>
              <w:t>affected individuals had a PRS below the familial media</w:t>
            </w:r>
            <w:r w:rsidR="00CB2ADA">
              <w:rPr>
                <w:sz w:val="22"/>
                <w:szCs w:val="22"/>
              </w:rPr>
              <w:t xml:space="preserve">n, despite nine carrying the </w:t>
            </w:r>
            <w:r w:rsidR="00CB2ADA" w:rsidRPr="00CF135C">
              <w:rPr>
                <w:i/>
                <w:iCs/>
                <w:sz w:val="22"/>
                <w:szCs w:val="22"/>
              </w:rPr>
              <w:t>MUC5B</w:t>
            </w:r>
            <w:r w:rsidR="00CB2ADA">
              <w:rPr>
                <w:sz w:val="22"/>
                <w:szCs w:val="22"/>
              </w:rPr>
              <w:t xml:space="preserve"> risk variant, </w:t>
            </w:r>
            <w:r w:rsidR="0026122C">
              <w:rPr>
                <w:sz w:val="22"/>
                <w:szCs w:val="22"/>
              </w:rPr>
              <w:t>the</w:t>
            </w:r>
            <w:r w:rsidR="00CB2ADA">
              <w:rPr>
                <w:sz w:val="22"/>
                <w:szCs w:val="22"/>
              </w:rPr>
              <w:t xml:space="preserve"> biggest </w:t>
            </w:r>
            <w:r w:rsidR="0026122C">
              <w:rPr>
                <w:sz w:val="22"/>
                <w:szCs w:val="22"/>
              </w:rPr>
              <w:t xml:space="preserve">contributor to the </w:t>
            </w:r>
            <w:r w:rsidR="00CB2ADA">
              <w:rPr>
                <w:sz w:val="22"/>
                <w:szCs w:val="22"/>
              </w:rPr>
              <w:t>PRS</w:t>
            </w:r>
            <w:r w:rsidR="00DD025E">
              <w:rPr>
                <w:sz w:val="22"/>
                <w:szCs w:val="22"/>
              </w:rPr>
              <w:t>.</w:t>
            </w:r>
          </w:p>
          <w:p w14:paraId="520C7E4F" w14:textId="5A965ABB" w:rsidR="009C7E06" w:rsidRDefault="001564A4" w:rsidP="00F94D60">
            <w:pPr>
              <w:pStyle w:val="Pa12"/>
            </w:pPr>
            <w:r w:rsidRPr="0050053A">
              <w:rPr>
                <w:rStyle w:val="A4"/>
                <w:b/>
                <w:bCs/>
              </w:rPr>
              <w:t>Conclusion:</w:t>
            </w:r>
            <w:r w:rsidR="00674A30">
              <w:rPr>
                <w:rStyle w:val="A4"/>
                <w:b/>
                <w:bCs/>
              </w:rPr>
              <w:t xml:space="preserve"> </w:t>
            </w:r>
            <w:r w:rsidR="003E355C" w:rsidRPr="003E355C">
              <w:rPr>
                <w:rStyle w:val="A4"/>
              </w:rPr>
              <w:t>The genetic underpinnings of sporadic and familial disease may be more similar than previously thought.</w:t>
            </w:r>
            <w:r w:rsidR="003E355C">
              <w:rPr>
                <w:rStyle w:val="A4"/>
              </w:rPr>
              <w:t xml:space="preserve"> </w:t>
            </w:r>
            <w:r w:rsidR="003A0E9B">
              <w:rPr>
                <w:rStyle w:val="A4"/>
              </w:rPr>
              <w:t>Ongoing work will</w:t>
            </w:r>
            <w:r w:rsidR="003E355C">
              <w:rPr>
                <w:rStyle w:val="A4"/>
              </w:rPr>
              <w:t xml:space="preserve"> determine the </w:t>
            </w:r>
            <w:r w:rsidR="003A0E9B">
              <w:rPr>
                <w:rStyle w:val="A4"/>
              </w:rPr>
              <w:t xml:space="preserve">functional </w:t>
            </w:r>
            <w:r w:rsidR="003E355C">
              <w:rPr>
                <w:rStyle w:val="A4"/>
              </w:rPr>
              <w:t xml:space="preserve">impact of </w:t>
            </w:r>
            <w:r w:rsidR="003A0E9B">
              <w:rPr>
                <w:rStyle w:val="A4"/>
              </w:rPr>
              <w:t xml:space="preserve">identified </w:t>
            </w:r>
            <w:r w:rsidR="003E355C">
              <w:rPr>
                <w:rStyle w:val="A4"/>
              </w:rPr>
              <w:t>potentially disease-causing variants</w:t>
            </w:r>
            <w:r w:rsidR="003A0E9B">
              <w:rPr>
                <w:rStyle w:val="A4"/>
              </w:rPr>
              <w:t>.</w:t>
            </w:r>
            <w:r w:rsidR="003E355C">
              <w:rPr>
                <w:rStyle w:val="A4"/>
              </w:rPr>
              <w:t xml:space="preserve"> </w:t>
            </w:r>
          </w:p>
          <w:p w14:paraId="17423D14" w14:textId="77777777" w:rsidR="009C7E06" w:rsidRPr="009C7E06" w:rsidRDefault="009C7E06" w:rsidP="009C7E06">
            <w:pPr>
              <w:pStyle w:val="Default"/>
            </w:pP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21126B55" w14:textId="77777777" w:rsidR="00ED460C" w:rsidRDefault="00ED460C" w:rsidP="001564A4">
      <w:pPr>
        <w:rPr>
          <w:rFonts w:ascii="Arial" w:hAnsi="Arial" w:cs="Arial"/>
          <w:b/>
          <w:bCs/>
          <w:sz w:val="22"/>
          <w:szCs w:val="22"/>
        </w:rPr>
      </w:pPr>
    </w:p>
    <w:p w14:paraId="23255902" w14:textId="6B6A452E" w:rsidR="003E355C" w:rsidRPr="00ED460C" w:rsidRDefault="00315CDF" w:rsidP="00ED460C">
      <w:pPr>
        <w:rPr>
          <w:rFonts w:ascii="Arial" w:hAnsi="Arial" w:cs="Arial"/>
          <w:sz w:val="22"/>
          <w:szCs w:val="22"/>
        </w:rPr>
      </w:pPr>
      <w:r w:rsidRPr="003E355C">
        <w:rPr>
          <w:rFonts w:ascii="Arial" w:hAnsi="Arial" w:cs="Arial"/>
          <w:b/>
          <w:bCs/>
          <w:sz w:val="22"/>
          <w:szCs w:val="22"/>
        </w:rPr>
        <w:t xml:space="preserve">Grant support: </w:t>
      </w:r>
      <w:r w:rsidRPr="003E355C">
        <w:rPr>
          <w:rFonts w:ascii="Arial" w:hAnsi="Arial" w:cs="Arial"/>
          <w:sz w:val="22"/>
          <w:szCs w:val="22"/>
        </w:rPr>
        <w:t>This project is supported by a private philanthropic family and facilitated by the Lung Foundation Australia</w:t>
      </w:r>
      <w:r w:rsidR="00ED460C" w:rsidRPr="00ED460C">
        <w:rPr>
          <w:rFonts w:ascii="Arial" w:hAnsi="Arial" w:cs="Arial"/>
          <w:sz w:val="22"/>
          <w:szCs w:val="22"/>
        </w:rPr>
        <w:t>,</w:t>
      </w:r>
      <w:r w:rsidR="00ED460C">
        <w:rPr>
          <w:rFonts w:ascii="Arial" w:hAnsi="Arial" w:cs="Arial"/>
          <w:sz w:val="22"/>
          <w:szCs w:val="22"/>
        </w:rPr>
        <w:t xml:space="preserve"> a Perpetual IMPACT Grant</w:t>
      </w:r>
      <w:r w:rsidR="00ED460C" w:rsidRPr="00ED460C">
        <w:rPr>
          <w:rFonts w:ascii="Arial" w:hAnsi="Arial" w:cs="Arial"/>
          <w:sz w:val="22"/>
          <w:szCs w:val="22"/>
        </w:rPr>
        <w:t xml:space="preserve">, </w:t>
      </w:r>
      <w:r w:rsidR="00ED460C">
        <w:rPr>
          <w:rFonts w:ascii="Arial" w:hAnsi="Arial" w:cs="Arial"/>
          <w:sz w:val="22"/>
          <w:szCs w:val="22"/>
        </w:rPr>
        <w:t xml:space="preserve">the </w:t>
      </w:r>
      <w:r w:rsidR="00ED460C" w:rsidRPr="00ED460C">
        <w:rPr>
          <w:rFonts w:ascii="Arial" w:hAnsi="Arial" w:cs="Arial"/>
          <w:sz w:val="22"/>
          <w:szCs w:val="22"/>
        </w:rPr>
        <w:t xml:space="preserve">National Health and Medical Research Council, </w:t>
      </w:r>
      <w:r w:rsidR="00ED460C">
        <w:rPr>
          <w:rFonts w:ascii="Arial" w:hAnsi="Arial" w:cs="Arial"/>
          <w:sz w:val="22"/>
          <w:szCs w:val="22"/>
        </w:rPr>
        <w:t xml:space="preserve">and the </w:t>
      </w:r>
      <w:r w:rsidR="00ED460C" w:rsidRPr="00ED460C">
        <w:rPr>
          <w:rFonts w:ascii="Arial" w:hAnsi="Arial" w:cs="Arial"/>
          <w:sz w:val="22"/>
          <w:szCs w:val="22"/>
        </w:rPr>
        <w:t>MRFF Genomics Health Futures Mission</w:t>
      </w:r>
      <w:r w:rsidR="00D6479D">
        <w:rPr>
          <w:rFonts w:ascii="Arial" w:hAnsi="Arial" w:cs="Arial"/>
          <w:sz w:val="22"/>
          <w:szCs w:val="22"/>
        </w:rPr>
        <w:t>.</w:t>
      </w:r>
    </w:p>
    <w:p w14:paraId="6F5F775A" w14:textId="0C92C0E4" w:rsidR="003E355C" w:rsidRDefault="003E355C" w:rsidP="001564A4"/>
    <w:sectPr w:rsidR="003E3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4778"/>
    <w:rsid w:val="00025748"/>
    <w:rsid w:val="00081802"/>
    <w:rsid w:val="000C6F53"/>
    <w:rsid w:val="000D1A39"/>
    <w:rsid w:val="001306E3"/>
    <w:rsid w:val="001564A4"/>
    <w:rsid w:val="001867A4"/>
    <w:rsid w:val="001C0DF6"/>
    <w:rsid w:val="0026122C"/>
    <w:rsid w:val="00293143"/>
    <w:rsid w:val="002F048B"/>
    <w:rsid w:val="00315CDF"/>
    <w:rsid w:val="00342F3A"/>
    <w:rsid w:val="003A0E9B"/>
    <w:rsid w:val="003C2767"/>
    <w:rsid w:val="003E355C"/>
    <w:rsid w:val="00437373"/>
    <w:rsid w:val="00437882"/>
    <w:rsid w:val="00451C3A"/>
    <w:rsid w:val="0048744C"/>
    <w:rsid w:val="004D551C"/>
    <w:rsid w:val="00513B8F"/>
    <w:rsid w:val="0051574E"/>
    <w:rsid w:val="005840EF"/>
    <w:rsid w:val="005C439D"/>
    <w:rsid w:val="00655F3E"/>
    <w:rsid w:val="00674A30"/>
    <w:rsid w:val="006A444F"/>
    <w:rsid w:val="007436B6"/>
    <w:rsid w:val="007673AA"/>
    <w:rsid w:val="007B188A"/>
    <w:rsid w:val="007F3750"/>
    <w:rsid w:val="008803FA"/>
    <w:rsid w:val="008B2D23"/>
    <w:rsid w:val="008F6E1A"/>
    <w:rsid w:val="009025E4"/>
    <w:rsid w:val="0092247B"/>
    <w:rsid w:val="009243A9"/>
    <w:rsid w:val="009B28F7"/>
    <w:rsid w:val="009C7E06"/>
    <w:rsid w:val="009E03F7"/>
    <w:rsid w:val="00A64011"/>
    <w:rsid w:val="00AE7B28"/>
    <w:rsid w:val="00B12E32"/>
    <w:rsid w:val="00B819F4"/>
    <w:rsid w:val="00C80B2E"/>
    <w:rsid w:val="00CB2ADA"/>
    <w:rsid w:val="00CF135C"/>
    <w:rsid w:val="00D5156C"/>
    <w:rsid w:val="00D52AA6"/>
    <w:rsid w:val="00D6479D"/>
    <w:rsid w:val="00DD025E"/>
    <w:rsid w:val="00E0700F"/>
    <w:rsid w:val="00E14C8B"/>
    <w:rsid w:val="00E40130"/>
    <w:rsid w:val="00E77F5D"/>
    <w:rsid w:val="00ED460C"/>
    <w:rsid w:val="00EE2D14"/>
    <w:rsid w:val="00F02FB3"/>
    <w:rsid w:val="00F55331"/>
    <w:rsid w:val="00F94D60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451C3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1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C3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C3A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Sionne Lucas</cp:lastModifiedBy>
  <cp:revision>3</cp:revision>
  <dcterms:created xsi:type="dcterms:W3CDTF">2023-10-19T01:24:00Z</dcterms:created>
  <dcterms:modified xsi:type="dcterms:W3CDTF">2023-10-19T04:27:00Z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