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FED29D5" w14:textId="702DC032" w:rsidR="00C8423A" w:rsidRPr="0063575A" w:rsidRDefault="0063575A" w:rsidP="00706DED">
            <w:pPr>
              <w:jc w:val="both"/>
              <w:rPr>
                <w:rFonts w:ascii="Arial" w:hAnsi="Arial" w:cs="Arial"/>
                <w:bCs/>
                <w:i/>
                <w:iCs/>
                <w:sz w:val="22"/>
                <w:szCs w:val="22"/>
              </w:rPr>
            </w:pPr>
            <w:r w:rsidRPr="0063575A">
              <w:rPr>
                <w:rFonts w:ascii="Arial" w:hAnsi="Arial" w:cs="Arial"/>
                <w:bCs/>
                <w:i/>
                <w:iCs/>
                <w:sz w:val="22"/>
                <w:szCs w:val="22"/>
              </w:rPr>
              <w:t>Paper</w:t>
            </w:r>
          </w:p>
          <w:p w14:paraId="314CF5DC" w14:textId="77777777" w:rsidR="00EE1809" w:rsidRDefault="00EE1809" w:rsidP="0065012F">
            <w:pPr>
              <w:tabs>
                <w:tab w:val="left" w:pos="3386"/>
              </w:tabs>
              <w:jc w:val="both"/>
              <w:rPr>
                <w:rFonts w:ascii="Arial" w:hAnsi="Arial" w:cs="Arial"/>
                <w:b/>
                <w:bCs/>
                <w:sz w:val="22"/>
                <w:szCs w:val="22"/>
                <w:lang w:val="en-CA"/>
              </w:rPr>
            </w:pPr>
            <w:r w:rsidRPr="00EE1809">
              <w:rPr>
                <w:rFonts w:ascii="Arial" w:hAnsi="Arial" w:cs="Arial"/>
                <w:b/>
                <w:bCs/>
                <w:sz w:val="22"/>
                <w:szCs w:val="22"/>
                <w:lang w:val="en-CA"/>
              </w:rPr>
              <w:t>Systemic review of indicators for equitable climate adaptation of housing and infrastructure </w:t>
            </w:r>
          </w:p>
          <w:p w14:paraId="3F7D1534" w14:textId="50DEF0E1" w:rsidR="0063575A" w:rsidRPr="009C75AE" w:rsidRDefault="0063575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Pr="00B212F1" w:rsidRDefault="00C8423A" w:rsidP="00706DED">
            <w:pPr>
              <w:jc w:val="both"/>
              <w:rPr>
                <w:rFonts w:ascii="Arial" w:hAnsi="Arial" w:cs="Arial"/>
                <w:b/>
                <w:sz w:val="22"/>
                <w:szCs w:val="22"/>
              </w:rPr>
            </w:pPr>
          </w:p>
          <w:p w14:paraId="4806BFDB" w14:textId="4E91F886" w:rsidR="0065012F" w:rsidRPr="00B212F1" w:rsidRDefault="0065012F" w:rsidP="00EE1809">
            <w:pPr>
              <w:spacing w:after="160" w:line="259" w:lineRule="auto"/>
              <w:rPr>
                <w:rFonts w:ascii="Arial" w:hAnsi="Arial" w:cs="Arial"/>
                <w:sz w:val="22"/>
                <w:szCs w:val="22"/>
                <w:lang w:val="en-US"/>
              </w:rPr>
            </w:pPr>
            <w:r w:rsidRPr="00B212F1">
              <w:rPr>
                <w:rFonts w:ascii="Arial" w:hAnsi="Arial" w:cs="Arial"/>
                <w:b/>
                <w:sz w:val="22"/>
                <w:szCs w:val="22"/>
              </w:rPr>
              <w:t>Introduction</w:t>
            </w:r>
            <w:r w:rsidR="00EE1809" w:rsidRPr="00B212F1">
              <w:rPr>
                <w:rFonts w:ascii="Arial" w:hAnsi="Arial" w:cs="Arial"/>
                <w:b/>
                <w:sz w:val="22"/>
                <w:szCs w:val="22"/>
              </w:rPr>
              <w:t xml:space="preserve">: </w:t>
            </w:r>
            <w:bookmarkStart w:id="0" w:name="_Hlk191856163"/>
            <w:r w:rsidR="00EE1809" w:rsidRPr="00D8148D">
              <w:rPr>
                <w:rFonts w:ascii="Arial" w:hAnsi="Arial" w:cs="Arial"/>
                <w:sz w:val="22"/>
                <w:szCs w:val="22"/>
                <w:lang w:val="en-CA"/>
              </w:rPr>
              <w:t xml:space="preserve">Indicators used in sustainable development frameworks play a critical role in formulating key goals and monitoring their progress [1]. For climate adaptation, indicators are important for evaluating the effectiveness of climate adaptation </w:t>
            </w:r>
            <w:r w:rsidR="00EE1809" w:rsidRPr="00B212F1">
              <w:rPr>
                <w:rFonts w:ascii="Arial" w:hAnsi="Arial" w:cs="Arial"/>
                <w:sz w:val="22"/>
                <w:szCs w:val="22"/>
                <w:lang w:val="en-CA"/>
              </w:rPr>
              <w:t xml:space="preserve">efforts </w:t>
            </w:r>
            <w:r w:rsidR="00EE1809" w:rsidRPr="00D8148D">
              <w:rPr>
                <w:rFonts w:ascii="Arial" w:hAnsi="Arial" w:cs="Arial"/>
                <w:sz w:val="22"/>
                <w:szCs w:val="22"/>
                <w:lang w:val="en-CA"/>
              </w:rPr>
              <w:t>including monitoring the progress of adaptation plans [2].</w:t>
            </w:r>
            <w:r w:rsidR="00EE1809" w:rsidRPr="00B212F1">
              <w:rPr>
                <w:rFonts w:ascii="Arial" w:hAnsi="Arial" w:cs="Arial"/>
                <w:sz w:val="22"/>
                <w:szCs w:val="22"/>
                <w:lang w:val="en-CA"/>
              </w:rPr>
              <w:t xml:space="preserve"> Current l</w:t>
            </w:r>
            <w:r w:rsidR="00EE1809" w:rsidRPr="00D8148D">
              <w:rPr>
                <w:rFonts w:ascii="Arial" w:hAnsi="Arial" w:cs="Arial"/>
                <w:sz w:val="22"/>
                <w:szCs w:val="22"/>
                <w:lang w:val="en-CA"/>
              </w:rPr>
              <w:t>iterature</w:t>
            </w:r>
            <w:r w:rsidR="00EE1809" w:rsidRPr="00B212F1">
              <w:rPr>
                <w:rFonts w:ascii="Arial" w:hAnsi="Arial" w:cs="Arial"/>
                <w:sz w:val="22"/>
                <w:szCs w:val="22"/>
                <w:lang w:val="en-CA"/>
              </w:rPr>
              <w:t xml:space="preserve"> states</w:t>
            </w:r>
            <w:r w:rsidR="00EE1809" w:rsidRPr="00D8148D">
              <w:rPr>
                <w:rFonts w:ascii="Arial" w:hAnsi="Arial" w:cs="Arial"/>
                <w:sz w:val="22"/>
                <w:szCs w:val="22"/>
                <w:lang w:val="en-CA"/>
              </w:rPr>
              <w:t xml:space="preserve"> that there is</w:t>
            </w:r>
            <w:r w:rsidR="00EE1809" w:rsidRPr="00B212F1">
              <w:rPr>
                <w:rFonts w:ascii="Arial" w:hAnsi="Arial" w:cs="Arial"/>
                <w:sz w:val="22"/>
                <w:szCs w:val="22"/>
                <w:lang w:val="en-CA"/>
              </w:rPr>
              <w:t xml:space="preserve"> a</w:t>
            </w:r>
            <w:r w:rsidR="00EE1809" w:rsidRPr="00D8148D">
              <w:rPr>
                <w:rFonts w:ascii="Arial" w:hAnsi="Arial" w:cs="Arial"/>
                <w:sz w:val="22"/>
                <w:szCs w:val="22"/>
                <w:lang w:val="en-CA"/>
              </w:rPr>
              <w:t xml:space="preserve"> lack of available knowledge on the available adaptation indicators focusing on sustainable</w:t>
            </w:r>
            <w:r w:rsidR="00EE1809" w:rsidRPr="00B212F1">
              <w:rPr>
                <w:rFonts w:ascii="Arial" w:hAnsi="Arial" w:cs="Arial"/>
                <w:sz w:val="22"/>
                <w:szCs w:val="22"/>
                <w:lang w:val="en-CA"/>
              </w:rPr>
              <w:t xml:space="preserve"> housing and</w:t>
            </w:r>
            <w:r w:rsidR="00EE1809" w:rsidRPr="00D8148D">
              <w:rPr>
                <w:rFonts w:ascii="Arial" w:hAnsi="Arial" w:cs="Arial"/>
                <w:sz w:val="22"/>
                <w:szCs w:val="22"/>
                <w:lang w:val="en-CA"/>
              </w:rPr>
              <w:t xml:space="preserve"> infrastructure development, </w:t>
            </w:r>
            <w:r w:rsidR="00EE1809" w:rsidRPr="00B212F1">
              <w:rPr>
                <w:rFonts w:ascii="Arial" w:hAnsi="Arial" w:cs="Arial"/>
                <w:sz w:val="22"/>
                <w:szCs w:val="22"/>
                <w:lang w:val="en-CA"/>
              </w:rPr>
              <w:t>indicator</w:t>
            </w:r>
            <w:r w:rsidR="00EE1809" w:rsidRPr="00D8148D">
              <w:rPr>
                <w:rFonts w:ascii="Arial" w:hAnsi="Arial" w:cs="Arial"/>
                <w:sz w:val="22"/>
                <w:szCs w:val="22"/>
                <w:lang w:val="en-CA"/>
              </w:rPr>
              <w:t xml:space="preserve"> types and their applicability</w:t>
            </w:r>
            <w:r w:rsidR="00EE1809" w:rsidRPr="00B212F1">
              <w:rPr>
                <w:rFonts w:ascii="Arial" w:hAnsi="Arial" w:cs="Arial"/>
                <w:sz w:val="22"/>
                <w:szCs w:val="22"/>
                <w:lang w:val="en-CA"/>
              </w:rPr>
              <w:t xml:space="preserve"> </w:t>
            </w:r>
            <w:r w:rsidR="00EE1809" w:rsidRPr="00D8148D">
              <w:rPr>
                <w:rFonts w:ascii="Arial" w:hAnsi="Arial" w:cs="Arial"/>
                <w:sz w:val="22"/>
                <w:szCs w:val="22"/>
                <w:lang w:val="en-CA"/>
              </w:rPr>
              <w:t xml:space="preserve">[3,4,5]. Also, limited </w:t>
            </w:r>
            <w:r w:rsidR="00EE1809" w:rsidRPr="00B212F1">
              <w:rPr>
                <w:rFonts w:ascii="Arial" w:hAnsi="Arial" w:cs="Arial"/>
                <w:sz w:val="22"/>
                <w:szCs w:val="22"/>
                <w:lang w:val="en-CA"/>
              </w:rPr>
              <w:t xml:space="preserve">implementation of indicators that aid in monitoring and evaluation </w:t>
            </w:r>
            <w:r w:rsidR="00EE1809" w:rsidRPr="00D8148D">
              <w:rPr>
                <w:rFonts w:ascii="Arial" w:hAnsi="Arial" w:cs="Arial"/>
                <w:sz w:val="22"/>
                <w:szCs w:val="22"/>
                <w:lang w:val="en-CA"/>
              </w:rPr>
              <w:t>has resulted in insufficient long-term progress [6]. Additionally,</w:t>
            </w:r>
            <w:r w:rsidR="00EE1809" w:rsidRPr="00B212F1">
              <w:rPr>
                <w:rFonts w:ascii="Arial" w:hAnsi="Arial" w:cs="Arial"/>
                <w:sz w:val="22"/>
                <w:szCs w:val="22"/>
                <w:lang w:val="en-CA"/>
              </w:rPr>
              <w:t xml:space="preserve"> literature states that monitoring and evaluation </w:t>
            </w:r>
            <w:r w:rsidR="00EE1809" w:rsidRPr="00D8148D">
              <w:rPr>
                <w:rFonts w:ascii="Arial" w:hAnsi="Arial" w:cs="Arial"/>
                <w:sz w:val="22"/>
                <w:szCs w:val="22"/>
                <w:lang w:val="en-CA"/>
              </w:rPr>
              <w:t xml:space="preserve">indicators </w:t>
            </w:r>
            <w:r w:rsidR="00EE1809" w:rsidRPr="00B212F1">
              <w:rPr>
                <w:rFonts w:ascii="Arial" w:hAnsi="Arial" w:cs="Arial"/>
                <w:sz w:val="22"/>
                <w:szCs w:val="22"/>
                <w:lang w:val="en-CA"/>
              </w:rPr>
              <w:t xml:space="preserve">used for developmental projects and have been documented in grey literature and are usually excluded from </w:t>
            </w:r>
            <w:r w:rsidR="00EE1809" w:rsidRPr="00D8148D">
              <w:rPr>
                <w:rFonts w:ascii="Arial" w:hAnsi="Arial" w:cs="Arial"/>
                <w:sz w:val="22"/>
                <w:szCs w:val="22"/>
                <w:lang w:val="en-CA"/>
              </w:rPr>
              <w:t xml:space="preserve">peer reviewed literature. </w:t>
            </w:r>
            <w:r w:rsidR="00EE1809" w:rsidRPr="00D8148D">
              <w:rPr>
                <w:rFonts w:ascii="Arial" w:hAnsi="Arial" w:cs="Arial"/>
                <w:sz w:val="22"/>
                <w:szCs w:val="22"/>
                <w:lang w:val="en-US"/>
              </w:rPr>
              <w:t> </w:t>
            </w:r>
          </w:p>
          <w:bookmarkEnd w:id="0"/>
          <w:p w14:paraId="7DF7D437" w14:textId="6E249E1C" w:rsidR="0065012F" w:rsidRPr="00B212F1" w:rsidRDefault="0065012F" w:rsidP="00EE1809">
            <w:pPr>
              <w:spacing w:after="160" w:line="259" w:lineRule="auto"/>
              <w:rPr>
                <w:rFonts w:ascii="Arial" w:hAnsi="Arial" w:cs="Arial"/>
                <w:sz w:val="22"/>
                <w:szCs w:val="22"/>
                <w:lang w:val="en-US"/>
              </w:rPr>
            </w:pPr>
            <w:r w:rsidRPr="00B212F1">
              <w:rPr>
                <w:rFonts w:ascii="Arial" w:hAnsi="Arial" w:cs="Arial"/>
                <w:b/>
                <w:sz w:val="22"/>
                <w:szCs w:val="22"/>
              </w:rPr>
              <w:t>Objectives</w:t>
            </w:r>
            <w:r w:rsidR="00EE1809" w:rsidRPr="00B212F1">
              <w:rPr>
                <w:rFonts w:ascii="Arial" w:hAnsi="Arial" w:cs="Arial"/>
                <w:b/>
                <w:sz w:val="22"/>
                <w:szCs w:val="22"/>
              </w:rPr>
              <w:t xml:space="preserve">: </w:t>
            </w:r>
            <w:bookmarkStart w:id="1" w:name="_Hlk191856191"/>
            <w:r w:rsidR="00EE1809" w:rsidRPr="00D8148D">
              <w:rPr>
                <w:rFonts w:ascii="Arial" w:hAnsi="Arial" w:cs="Arial"/>
                <w:sz w:val="22"/>
                <w:szCs w:val="22"/>
                <w:lang w:val="en-CA"/>
              </w:rPr>
              <w:t>We aim to systematically identify climate adaptation indicators on the city, regional and national level for housing and infrastructural development. We aim to compare indicators from the peer reviews literature and grey literature, including practitioner reports.</w:t>
            </w:r>
            <w:r w:rsidR="00EE1809" w:rsidRPr="00D8148D">
              <w:rPr>
                <w:rFonts w:ascii="Arial" w:hAnsi="Arial" w:cs="Arial"/>
                <w:sz w:val="22"/>
                <w:szCs w:val="22"/>
                <w:lang w:val="en-US"/>
              </w:rPr>
              <w:t> </w:t>
            </w:r>
          </w:p>
          <w:bookmarkEnd w:id="1"/>
          <w:p w14:paraId="163060A0" w14:textId="77777777" w:rsidR="00EE1809" w:rsidRPr="00D8148D" w:rsidRDefault="00906B39" w:rsidP="00EE1809">
            <w:pPr>
              <w:spacing w:after="160" w:line="259" w:lineRule="auto"/>
              <w:rPr>
                <w:rFonts w:ascii="Arial" w:hAnsi="Arial" w:cs="Arial"/>
                <w:sz w:val="22"/>
                <w:szCs w:val="22"/>
                <w:lang w:val="en-US"/>
              </w:rPr>
            </w:pPr>
            <w:r w:rsidRPr="00B212F1">
              <w:rPr>
                <w:rFonts w:ascii="Arial" w:hAnsi="Arial" w:cs="Arial"/>
                <w:b/>
                <w:sz w:val="22"/>
                <w:szCs w:val="22"/>
              </w:rPr>
              <w:t>Methodology</w:t>
            </w:r>
            <w:r w:rsidR="00EE1809" w:rsidRPr="00B212F1">
              <w:rPr>
                <w:rFonts w:ascii="Arial" w:hAnsi="Arial" w:cs="Arial"/>
                <w:b/>
                <w:sz w:val="22"/>
                <w:szCs w:val="22"/>
              </w:rPr>
              <w:t xml:space="preserve">: </w:t>
            </w:r>
            <w:bookmarkStart w:id="2" w:name="_Hlk191856219"/>
            <w:r w:rsidR="00EE1809" w:rsidRPr="00D8148D">
              <w:rPr>
                <w:rFonts w:ascii="Arial" w:hAnsi="Arial" w:cs="Arial"/>
                <w:sz w:val="22"/>
                <w:szCs w:val="22"/>
                <w:lang w:val="en-CA"/>
              </w:rPr>
              <w:t>We conducted a</w:t>
            </w:r>
            <w:r w:rsidR="00EE1809" w:rsidRPr="00D8148D">
              <w:rPr>
                <w:rFonts w:ascii="Arial" w:hAnsi="Arial" w:cs="Arial"/>
                <w:b/>
                <w:bCs/>
                <w:sz w:val="22"/>
                <w:szCs w:val="22"/>
                <w:lang w:val="en-CA"/>
              </w:rPr>
              <w:t xml:space="preserve"> </w:t>
            </w:r>
            <w:r w:rsidR="00EE1809" w:rsidRPr="00D8148D">
              <w:rPr>
                <w:rFonts w:ascii="Arial" w:hAnsi="Arial" w:cs="Arial"/>
                <w:sz w:val="22"/>
                <w:szCs w:val="22"/>
                <w:lang w:val="en-CA"/>
              </w:rPr>
              <w:t xml:space="preserve">systemic review focusing on identifying the current indicators used in climate adaptation, housing and infrastructure development, comparing the peer-reviewed and grey literature. </w:t>
            </w:r>
            <w:r w:rsidR="00EE1809" w:rsidRPr="00D8148D">
              <w:rPr>
                <w:rFonts w:ascii="Arial" w:hAnsi="Arial" w:cs="Arial"/>
                <w:sz w:val="22"/>
                <w:szCs w:val="22"/>
                <w:lang w:val="en-US"/>
              </w:rPr>
              <w:t> </w:t>
            </w:r>
          </w:p>
          <w:p w14:paraId="58F7947E" w14:textId="5857CC88" w:rsidR="00EE1809" w:rsidRPr="00B212F1" w:rsidRDefault="00EE1809" w:rsidP="00EE1809">
            <w:pPr>
              <w:pStyle w:val="ListParagraph"/>
              <w:numPr>
                <w:ilvl w:val="0"/>
                <w:numId w:val="4"/>
              </w:numPr>
              <w:spacing w:after="160" w:line="259" w:lineRule="auto"/>
              <w:rPr>
                <w:rFonts w:ascii="Arial" w:hAnsi="Arial" w:cs="Arial"/>
                <w:sz w:val="22"/>
                <w:szCs w:val="22"/>
                <w:lang w:val="en-US"/>
              </w:rPr>
            </w:pPr>
            <w:r w:rsidRPr="00B212F1">
              <w:rPr>
                <w:rFonts w:ascii="Arial" w:hAnsi="Arial" w:cs="Arial"/>
                <w:sz w:val="22"/>
                <w:szCs w:val="22"/>
                <w:lang w:val="en-CA"/>
              </w:rPr>
              <w:t xml:space="preserve">Peer-reviewed literature: We used databases such as Web of Science and PRISMA approach. The PRISMA approach included identification of search strategies and databases for the review, search code formulation and inclusion criteria such studies published after year 2010 and relevant to study focus. We conducted data analysis using the code book method that included selecting 6,312 relevant papers using </w:t>
            </w:r>
            <w:proofErr w:type="spellStart"/>
            <w:r w:rsidRPr="00B212F1">
              <w:rPr>
                <w:rFonts w:ascii="Arial" w:hAnsi="Arial" w:cs="Arial"/>
                <w:sz w:val="22"/>
                <w:szCs w:val="22"/>
                <w:lang w:val="en-CA"/>
              </w:rPr>
              <w:t>ASReview</w:t>
            </w:r>
            <w:proofErr w:type="spellEnd"/>
            <w:r w:rsidRPr="00B212F1">
              <w:rPr>
                <w:rFonts w:ascii="Arial" w:hAnsi="Arial" w:cs="Arial"/>
                <w:sz w:val="22"/>
                <w:szCs w:val="22"/>
                <w:lang w:val="en-CA"/>
              </w:rPr>
              <w:t xml:space="preserve"> based on title and keywords and further shortlisting them to 599 papers based on abstract relevance. These shortlisted papers were read thoroughly and relevant information like bibliographic information, indicator name, purpose, type, units used and focus population group were added to a codebook. </w:t>
            </w:r>
          </w:p>
          <w:p w14:paraId="015EFC6C" w14:textId="04ACB760" w:rsidR="0065012F" w:rsidRPr="00B212F1" w:rsidRDefault="00EE1809" w:rsidP="00C61BDB">
            <w:pPr>
              <w:numPr>
                <w:ilvl w:val="0"/>
                <w:numId w:val="4"/>
              </w:numPr>
              <w:spacing w:after="160" w:line="259" w:lineRule="auto"/>
              <w:jc w:val="both"/>
              <w:rPr>
                <w:rFonts w:ascii="Arial" w:hAnsi="Arial" w:cs="Arial"/>
                <w:b/>
                <w:sz w:val="22"/>
                <w:szCs w:val="22"/>
              </w:rPr>
            </w:pPr>
            <w:r w:rsidRPr="00D8148D">
              <w:rPr>
                <w:rFonts w:ascii="Arial" w:hAnsi="Arial" w:cs="Arial"/>
                <w:sz w:val="22"/>
                <w:szCs w:val="22"/>
                <w:lang w:val="en-CA"/>
              </w:rPr>
              <w:t>Grey literature:</w:t>
            </w:r>
            <w:r w:rsidRPr="00B212F1">
              <w:rPr>
                <w:rFonts w:ascii="Arial" w:hAnsi="Arial" w:cs="Arial"/>
                <w:sz w:val="22"/>
                <w:szCs w:val="22"/>
                <w:lang w:val="en-CA"/>
              </w:rPr>
              <w:t xml:space="preserve"> </w:t>
            </w:r>
            <w:r w:rsidRPr="00D8148D">
              <w:rPr>
                <w:rFonts w:ascii="Arial" w:hAnsi="Arial" w:cs="Arial"/>
                <w:sz w:val="22"/>
                <w:szCs w:val="22"/>
                <w:lang w:val="en-CA"/>
              </w:rPr>
              <w:t xml:space="preserve">We reviewed frameworks, goals and relevant indicators mentioned in grey literature data bases like Policy commons, international data bases such as UN data and indicators used for monitoring and evaluation of </w:t>
            </w:r>
            <w:r w:rsidRPr="00B212F1">
              <w:rPr>
                <w:rFonts w:ascii="Arial" w:hAnsi="Arial" w:cs="Arial"/>
                <w:sz w:val="22"/>
                <w:szCs w:val="22"/>
                <w:lang w:val="en-CA"/>
              </w:rPr>
              <w:t xml:space="preserve">existing </w:t>
            </w:r>
            <w:r w:rsidRPr="00D8148D">
              <w:rPr>
                <w:rFonts w:ascii="Arial" w:hAnsi="Arial" w:cs="Arial"/>
                <w:sz w:val="22"/>
                <w:szCs w:val="22"/>
                <w:lang w:val="en-CA"/>
              </w:rPr>
              <w:t>international urban development projects, relevant reports from key think tanks and NGOs</w:t>
            </w:r>
            <w:r w:rsidRPr="00B212F1">
              <w:rPr>
                <w:rFonts w:ascii="Arial" w:hAnsi="Arial" w:cs="Arial"/>
                <w:sz w:val="22"/>
                <w:szCs w:val="22"/>
                <w:lang w:val="en-CA"/>
              </w:rPr>
              <w:t>.</w:t>
            </w:r>
          </w:p>
          <w:bookmarkEnd w:id="2"/>
          <w:p w14:paraId="26DC99F1" w14:textId="1F1DD7BD" w:rsidR="0065012F" w:rsidRPr="00B212F1" w:rsidRDefault="0065012F" w:rsidP="00EE1809">
            <w:pPr>
              <w:spacing w:after="160" w:line="259" w:lineRule="auto"/>
              <w:rPr>
                <w:rFonts w:ascii="Arial" w:hAnsi="Arial" w:cs="Arial"/>
                <w:b/>
                <w:sz w:val="22"/>
                <w:szCs w:val="22"/>
              </w:rPr>
            </w:pPr>
            <w:r w:rsidRPr="00B212F1">
              <w:rPr>
                <w:rFonts w:ascii="Arial" w:hAnsi="Arial" w:cs="Arial"/>
                <w:b/>
                <w:sz w:val="22"/>
                <w:szCs w:val="22"/>
              </w:rPr>
              <w:t>Findings</w:t>
            </w:r>
            <w:r w:rsidR="00EE1809" w:rsidRPr="00B212F1">
              <w:rPr>
                <w:rFonts w:ascii="Arial" w:hAnsi="Arial" w:cs="Arial"/>
                <w:b/>
                <w:sz w:val="22"/>
                <w:szCs w:val="22"/>
              </w:rPr>
              <w:t xml:space="preserve">: </w:t>
            </w:r>
            <w:r w:rsidR="00EE1809" w:rsidRPr="00D8148D">
              <w:rPr>
                <w:rFonts w:ascii="Arial" w:hAnsi="Arial" w:cs="Arial"/>
                <w:sz w:val="22"/>
                <w:szCs w:val="22"/>
                <w:lang w:val="en-CA"/>
              </w:rPr>
              <w:t xml:space="preserve">We found that </w:t>
            </w:r>
            <w:r w:rsidR="00EE1809" w:rsidRPr="00B212F1">
              <w:rPr>
                <w:rFonts w:ascii="Arial" w:hAnsi="Arial" w:cs="Arial"/>
                <w:sz w:val="22"/>
                <w:szCs w:val="22"/>
                <w:lang w:val="en-CA"/>
              </w:rPr>
              <w:t xml:space="preserve">climate adaptation </w:t>
            </w:r>
            <w:r w:rsidR="00EE1809" w:rsidRPr="00D8148D">
              <w:rPr>
                <w:rFonts w:ascii="Arial" w:hAnsi="Arial" w:cs="Arial"/>
                <w:sz w:val="22"/>
                <w:szCs w:val="22"/>
                <w:lang w:val="en-CA"/>
              </w:rPr>
              <w:t xml:space="preserve">indicators </w:t>
            </w:r>
            <w:r w:rsidR="00EE1809" w:rsidRPr="00B212F1">
              <w:rPr>
                <w:rFonts w:ascii="Arial" w:hAnsi="Arial" w:cs="Arial"/>
                <w:sz w:val="22"/>
                <w:szCs w:val="22"/>
                <w:lang w:val="en-CA"/>
              </w:rPr>
              <w:t xml:space="preserve">implementation is done largely in silos with key focus on topics like </w:t>
            </w:r>
            <w:r w:rsidR="00EE1809" w:rsidRPr="00D8148D">
              <w:rPr>
                <w:rFonts w:ascii="Arial" w:hAnsi="Arial" w:cs="Arial"/>
                <w:sz w:val="22"/>
                <w:szCs w:val="22"/>
                <w:lang w:val="en-CA"/>
              </w:rPr>
              <w:t xml:space="preserve">disaster risk reduction, housing and urban development and very few indicators include equity and community priorities. There is a literature gap in indicators that are relevant to all three </w:t>
            </w:r>
            <w:r w:rsidR="00EE1809" w:rsidRPr="00B212F1">
              <w:rPr>
                <w:rFonts w:ascii="Arial" w:hAnsi="Arial" w:cs="Arial"/>
                <w:sz w:val="22"/>
                <w:szCs w:val="22"/>
                <w:lang w:val="en-CA"/>
              </w:rPr>
              <w:t>areas</w:t>
            </w:r>
            <w:r w:rsidR="00EE1809" w:rsidRPr="00D8148D">
              <w:rPr>
                <w:rFonts w:ascii="Arial" w:hAnsi="Arial" w:cs="Arial"/>
                <w:sz w:val="22"/>
                <w:szCs w:val="22"/>
                <w:lang w:val="en-CA"/>
              </w:rPr>
              <w:t>. We also found that there is very less research (29 out of 599 peer reviewed papers) done that focuse</w:t>
            </w:r>
            <w:r w:rsidR="00EE1809" w:rsidRPr="00B212F1">
              <w:rPr>
                <w:rFonts w:ascii="Arial" w:hAnsi="Arial" w:cs="Arial"/>
                <w:sz w:val="22"/>
                <w:szCs w:val="22"/>
                <w:lang w:val="en-CA"/>
              </w:rPr>
              <w:t>s on climate adaptation</w:t>
            </w:r>
            <w:r w:rsidR="00EE1809" w:rsidRPr="00D8148D">
              <w:rPr>
                <w:rFonts w:ascii="Arial" w:hAnsi="Arial" w:cs="Arial"/>
                <w:sz w:val="22"/>
                <w:szCs w:val="22"/>
                <w:lang w:val="en-CA"/>
              </w:rPr>
              <w:t xml:space="preserve"> indicator framework in housing development. Additionally, the grey </w:t>
            </w:r>
            <w:r w:rsidR="00EE1809" w:rsidRPr="00D8148D">
              <w:rPr>
                <w:rFonts w:ascii="Arial" w:hAnsi="Arial" w:cs="Arial"/>
                <w:sz w:val="22"/>
                <w:szCs w:val="22"/>
                <w:lang w:val="en-CA"/>
              </w:rPr>
              <w:lastRenderedPageBreak/>
              <w:t xml:space="preserve">literature we identified focused </w:t>
            </w:r>
            <w:r w:rsidR="00EE1809" w:rsidRPr="00B212F1">
              <w:rPr>
                <w:rFonts w:ascii="Arial" w:hAnsi="Arial" w:cs="Arial"/>
                <w:sz w:val="22"/>
                <w:szCs w:val="22"/>
                <w:lang w:val="en-CA"/>
              </w:rPr>
              <w:t>primarily on</w:t>
            </w:r>
            <w:r w:rsidR="00EE1809" w:rsidRPr="00D8148D">
              <w:rPr>
                <w:rFonts w:ascii="Arial" w:hAnsi="Arial" w:cs="Arial"/>
                <w:sz w:val="22"/>
                <w:szCs w:val="22"/>
                <w:lang w:val="en-CA"/>
              </w:rPr>
              <w:t xml:space="preserve"> city leve</w:t>
            </w:r>
            <w:r w:rsidR="00EE1809" w:rsidRPr="00B212F1">
              <w:rPr>
                <w:rFonts w:ascii="Arial" w:hAnsi="Arial" w:cs="Arial"/>
                <w:sz w:val="22"/>
                <w:szCs w:val="22"/>
                <w:lang w:val="en-CA"/>
              </w:rPr>
              <w:t>l</w:t>
            </w:r>
            <w:r w:rsidR="00EE1809" w:rsidRPr="00D8148D">
              <w:rPr>
                <w:rFonts w:ascii="Arial" w:hAnsi="Arial" w:cs="Arial"/>
                <w:sz w:val="22"/>
                <w:szCs w:val="22"/>
                <w:lang w:val="en-CA"/>
              </w:rPr>
              <w:t xml:space="preserve"> indicators as compared to the general national level indicators found in peer reviewed literature.</w:t>
            </w:r>
            <w:r w:rsidR="00EE1809" w:rsidRPr="00D8148D">
              <w:rPr>
                <w:rFonts w:ascii="Arial" w:hAnsi="Arial" w:cs="Arial"/>
                <w:sz w:val="22"/>
                <w:szCs w:val="22"/>
                <w:lang w:val="en-US"/>
              </w:rPr>
              <w:t> </w:t>
            </w:r>
          </w:p>
          <w:p w14:paraId="3741F35D" w14:textId="77777777" w:rsidR="00B212F1" w:rsidRPr="00B212F1" w:rsidRDefault="0065012F" w:rsidP="00B212F1">
            <w:pPr>
              <w:rPr>
                <w:rFonts w:ascii="Arial" w:hAnsi="Arial" w:cs="Arial"/>
                <w:sz w:val="22"/>
                <w:szCs w:val="22"/>
                <w:lang w:val="en-CA"/>
              </w:rPr>
            </w:pPr>
            <w:r w:rsidRPr="00B212F1">
              <w:rPr>
                <w:rFonts w:ascii="Arial" w:hAnsi="Arial" w:cs="Arial"/>
                <w:b/>
                <w:sz w:val="22"/>
                <w:szCs w:val="22"/>
              </w:rPr>
              <w:t>Significance of the work for policy and practice</w:t>
            </w:r>
            <w:r w:rsidR="00B212F1" w:rsidRPr="00B212F1">
              <w:rPr>
                <w:rFonts w:ascii="Arial" w:hAnsi="Arial" w:cs="Arial"/>
                <w:b/>
                <w:sz w:val="22"/>
                <w:szCs w:val="22"/>
              </w:rPr>
              <w:t xml:space="preserve">: </w:t>
            </w:r>
            <w:r w:rsidR="00B212F1" w:rsidRPr="00B212F1">
              <w:rPr>
                <w:rFonts w:ascii="Arial" w:hAnsi="Arial" w:cs="Arial"/>
                <w:sz w:val="22"/>
                <w:szCs w:val="22"/>
                <w:lang w:val="en-CA"/>
              </w:rPr>
              <w:t xml:space="preserve">The identified indicator database along with their types will help reduce the knowledge gap and siloed approach currently present. The results of this study will help identify indicators for equity so that urban planning does not perpetuate vulnerability. </w:t>
            </w:r>
          </w:p>
          <w:p w14:paraId="389899A5" w14:textId="77777777" w:rsidR="00B212F1" w:rsidRPr="00B212F1" w:rsidRDefault="00B212F1" w:rsidP="00B212F1">
            <w:pPr>
              <w:rPr>
                <w:rFonts w:ascii="Arial" w:hAnsi="Arial" w:cs="Arial"/>
                <w:sz w:val="22"/>
                <w:szCs w:val="22"/>
                <w:lang w:val="en-CA"/>
              </w:rPr>
            </w:pPr>
          </w:p>
          <w:p w14:paraId="5BE9F0F6" w14:textId="77777777" w:rsidR="00B212F1" w:rsidRPr="00B212F1" w:rsidRDefault="00B212F1" w:rsidP="00B212F1">
            <w:pPr>
              <w:rPr>
                <w:rFonts w:ascii="Arial" w:hAnsi="Arial" w:cs="Arial"/>
                <w:sz w:val="22"/>
                <w:szCs w:val="22"/>
                <w:lang w:val="en-US"/>
              </w:rPr>
            </w:pPr>
            <w:r w:rsidRPr="00B212F1">
              <w:rPr>
                <w:rFonts w:ascii="Arial" w:hAnsi="Arial" w:cs="Arial"/>
                <w:b/>
                <w:bCs/>
                <w:sz w:val="22"/>
                <w:szCs w:val="22"/>
              </w:rPr>
              <w:t>References: </w:t>
            </w:r>
            <w:r w:rsidRPr="00B212F1">
              <w:rPr>
                <w:rFonts w:ascii="Arial" w:hAnsi="Arial" w:cs="Arial"/>
                <w:sz w:val="22"/>
                <w:szCs w:val="22"/>
              </w:rPr>
              <w:t> </w:t>
            </w:r>
            <w:r w:rsidRPr="00B212F1">
              <w:rPr>
                <w:rFonts w:ascii="Arial" w:hAnsi="Arial" w:cs="Arial"/>
                <w:sz w:val="22"/>
                <w:szCs w:val="22"/>
                <w:lang w:val="en-US"/>
              </w:rPr>
              <w:t> </w:t>
            </w:r>
          </w:p>
          <w:p w14:paraId="38CE02B5" w14:textId="77777777" w:rsidR="00B212F1" w:rsidRPr="00B212F1" w:rsidRDefault="00B212F1" w:rsidP="00B212F1">
            <w:pPr>
              <w:numPr>
                <w:ilvl w:val="0"/>
                <w:numId w:val="6"/>
              </w:numPr>
              <w:ind w:left="360"/>
              <w:rPr>
                <w:rFonts w:ascii="Arial" w:hAnsi="Arial" w:cs="Arial"/>
                <w:sz w:val="22"/>
                <w:szCs w:val="22"/>
                <w:lang w:val="en-US"/>
              </w:rPr>
            </w:pPr>
            <w:r w:rsidRPr="00B212F1">
              <w:rPr>
                <w:rFonts w:ascii="Arial" w:hAnsi="Arial" w:cs="Arial"/>
                <w:sz w:val="22"/>
                <w:szCs w:val="22"/>
              </w:rPr>
              <w:t xml:space="preserve">European Environment Agency. (2024). Monitoring and evaluating adaptation, Defining monitoring indicators. Retrieved from </w:t>
            </w:r>
            <w:hyperlink r:id="rId8" w:tgtFrame="_blank" w:history="1">
              <w:r w:rsidRPr="00B212F1">
                <w:rPr>
                  <w:rStyle w:val="Hyperlink"/>
                  <w:rFonts w:ascii="Arial" w:hAnsi="Arial" w:cs="Arial"/>
                  <w:sz w:val="22"/>
                  <w:szCs w:val="22"/>
                </w:rPr>
                <w:t>https://climate-adapt.eea.europa.eu/en/knowledge/tools/urban-ast/step-6-2</w:t>
              </w:r>
            </w:hyperlink>
            <w:r w:rsidRPr="00B212F1">
              <w:rPr>
                <w:rFonts w:ascii="Arial" w:hAnsi="Arial" w:cs="Arial"/>
                <w:sz w:val="22"/>
                <w:szCs w:val="22"/>
              </w:rPr>
              <w:t>.  </w:t>
            </w:r>
            <w:r w:rsidRPr="00B212F1">
              <w:rPr>
                <w:rFonts w:ascii="Arial" w:hAnsi="Arial" w:cs="Arial"/>
                <w:sz w:val="22"/>
                <w:szCs w:val="22"/>
                <w:lang w:val="en-US"/>
              </w:rPr>
              <w:t> </w:t>
            </w:r>
          </w:p>
          <w:p w14:paraId="524A9E76" w14:textId="77777777" w:rsidR="00B212F1" w:rsidRPr="00B212F1" w:rsidRDefault="00B212F1" w:rsidP="00B212F1">
            <w:pPr>
              <w:numPr>
                <w:ilvl w:val="0"/>
                <w:numId w:val="7"/>
              </w:numPr>
              <w:ind w:left="360"/>
              <w:rPr>
                <w:rFonts w:ascii="Arial" w:hAnsi="Arial" w:cs="Arial"/>
                <w:sz w:val="22"/>
                <w:szCs w:val="22"/>
                <w:lang w:val="en-US"/>
              </w:rPr>
            </w:pPr>
            <w:r w:rsidRPr="00B212F1">
              <w:rPr>
                <w:rFonts w:ascii="Arial" w:hAnsi="Arial" w:cs="Arial"/>
                <w:sz w:val="22"/>
                <w:szCs w:val="22"/>
              </w:rPr>
              <w:t xml:space="preserve">ICELI. (2022). Introducing Indicators. Retrieved from </w:t>
            </w:r>
            <w:hyperlink r:id="rId9" w:tgtFrame="_blank" w:history="1">
              <w:r w:rsidRPr="00B212F1">
                <w:rPr>
                  <w:rStyle w:val="Hyperlink"/>
                  <w:rFonts w:ascii="Arial" w:hAnsi="Arial" w:cs="Arial"/>
                  <w:sz w:val="22"/>
                  <w:szCs w:val="22"/>
                </w:rPr>
                <w:t>https://icleicanada.org/wp-content/uploads/2022/06/Introducing-Indicators_FINAL.pdf</w:t>
              </w:r>
            </w:hyperlink>
            <w:r w:rsidRPr="00B212F1">
              <w:rPr>
                <w:rFonts w:ascii="Arial" w:hAnsi="Arial" w:cs="Arial"/>
                <w:sz w:val="22"/>
                <w:szCs w:val="22"/>
              </w:rPr>
              <w:t>.  </w:t>
            </w:r>
            <w:r w:rsidRPr="00B212F1">
              <w:rPr>
                <w:rFonts w:ascii="Arial" w:hAnsi="Arial" w:cs="Arial"/>
                <w:sz w:val="22"/>
                <w:szCs w:val="22"/>
                <w:lang w:val="en-US"/>
              </w:rPr>
              <w:t> </w:t>
            </w:r>
          </w:p>
          <w:p w14:paraId="13AE045D" w14:textId="77777777" w:rsidR="00B212F1" w:rsidRPr="00B212F1" w:rsidRDefault="00B212F1" w:rsidP="00B212F1">
            <w:pPr>
              <w:numPr>
                <w:ilvl w:val="0"/>
                <w:numId w:val="8"/>
              </w:numPr>
              <w:ind w:left="360"/>
              <w:rPr>
                <w:rFonts w:ascii="Arial" w:hAnsi="Arial" w:cs="Arial"/>
                <w:sz w:val="22"/>
                <w:szCs w:val="22"/>
                <w:lang w:val="en-US"/>
              </w:rPr>
            </w:pPr>
            <w:r w:rsidRPr="00B212F1">
              <w:rPr>
                <w:rFonts w:ascii="Arial" w:hAnsi="Arial" w:cs="Arial"/>
                <w:sz w:val="22"/>
                <w:szCs w:val="22"/>
              </w:rPr>
              <w:t xml:space="preserve">NAP Global Network. (2023). Addressing the Climate Change Adaptation Gaps </w:t>
            </w:r>
            <w:proofErr w:type="gramStart"/>
            <w:r w:rsidRPr="00B212F1">
              <w:rPr>
                <w:rFonts w:ascii="Arial" w:hAnsi="Arial" w:cs="Arial"/>
                <w:sz w:val="22"/>
                <w:szCs w:val="22"/>
              </w:rPr>
              <w:t>From</w:t>
            </w:r>
            <w:proofErr w:type="gramEnd"/>
            <w:r w:rsidRPr="00B212F1">
              <w:rPr>
                <w:rFonts w:ascii="Arial" w:hAnsi="Arial" w:cs="Arial"/>
                <w:sz w:val="22"/>
                <w:szCs w:val="22"/>
              </w:rPr>
              <w:t xml:space="preserve"> the New IPCC Synthesis Report. Retrieved from </w:t>
            </w:r>
            <w:hyperlink r:id="rId10" w:tgtFrame="_blank" w:history="1">
              <w:r w:rsidRPr="00B212F1">
                <w:rPr>
                  <w:rStyle w:val="Hyperlink"/>
                  <w:rFonts w:ascii="Arial" w:hAnsi="Arial" w:cs="Arial"/>
                  <w:sz w:val="22"/>
                  <w:szCs w:val="22"/>
                </w:rPr>
                <w:t>https://napglobalnetwork.org/2023/03/climate-adaptation-gaps-ipcc-synthesis-report/</w:t>
              </w:r>
            </w:hyperlink>
            <w:r w:rsidRPr="00B212F1">
              <w:rPr>
                <w:rFonts w:ascii="Arial" w:hAnsi="Arial" w:cs="Arial"/>
                <w:sz w:val="22"/>
                <w:szCs w:val="22"/>
              </w:rPr>
              <w:t>.  </w:t>
            </w:r>
            <w:r w:rsidRPr="00B212F1">
              <w:rPr>
                <w:rFonts w:ascii="Arial" w:hAnsi="Arial" w:cs="Arial"/>
                <w:sz w:val="22"/>
                <w:szCs w:val="22"/>
                <w:lang w:val="en-US"/>
              </w:rPr>
              <w:t> </w:t>
            </w:r>
          </w:p>
          <w:p w14:paraId="15EA220E" w14:textId="77777777" w:rsidR="00B212F1" w:rsidRPr="00B212F1" w:rsidRDefault="00B212F1" w:rsidP="00B212F1">
            <w:pPr>
              <w:numPr>
                <w:ilvl w:val="0"/>
                <w:numId w:val="9"/>
              </w:numPr>
              <w:ind w:left="360"/>
              <w:rPr>
                <w:rFonts w:ascii="Arial" w:hAnsi="Arial" w:cs="Arial"/>
                <w:sz w:val="22"/>
                <w:szCs w:val="22"/>
                <w:lang w:val="en-US"/>
              </w:rPr>
            </w:pPr>
            <w:r w:rsidRPr="00B212F1">
              <w:rPr>
                <w:rFonts w:ascii="Arial" w:hAnsi="Arial" w:cs="Arial"/>
                <w:sz w:val="22"/>
                <w:szCs w:val="22"/>
              </w:rPr>
              <w:t xml:space="preserve">Dahl, A.L. (2012). Achievements and gaps in indicators for sustainability, Ecological Indicators, 17, pp 14-19, </w:t>
            </w:r>
            <w:hyperlink r:id="rId11" w:tgtFrame="_blank" w:history="1">
              <w:r w:rsidRPr="00B212F1">
                <w:rPr>
                  <w:rStyle w:val="Hyperlink"/>
                  <w:rFonts w:ascii="Arial" w:hAnsi="Arial" w:cs="Arial"/>
                  <w:sz w:val="22"/>
                  <w:szCs w:val="22"/>
                </w:rPr>
                <w:t>https://doi.org/10.1016/j.ecolind.2011.04.032</w:t>
              </w:r>
            </w:hyperlink>
            <w:r w:rsidRPr="00B212F1">
              <w:rPr>
                <w:rFonts w:ascii="Arial" w:hAnsi="Arial" w:cs="Arial"/>
                <w:sz w:val="22"/>
                <w:szCs w:val="22"/>
              </w:rPr>
              <w:t>. </w:t>
            </w:r>
            <w:r w:rsidRPr="00B212F1">
              <w:rPr>
                <w:rFonts w:ascii="Arial" w:hAnsi="Arial" w:cs="Arial"/>
                <w:sz w:val="22"/>
                <w:szCs w:val="22"/>
                <w:lang w:val="en-US"/>
              </w:rPr>
              <w:t> </w:t>
            </w:r>
          </w:p>
          <w:p w14:paraId="52292463" w14:textId="77777777" w:rsidR="00B212F1" w:rsidRPr="00B212F1" w:rsidRDefault="00B212F1" w:rsidP="00B212F1">
            <w:pPr>
              <w:numPr>
                <w:ilvl w:val="0"/>
                <w:numId w:val="10"/>
              </w:numPr>
              <w:ind w:left="360"/>
              <w:rPr>
                <w:rFonts w:ascii="Arial" w:hAnsi="Arial" w:cs="Arial"/>
                <w:sz w:val="22"/>
                <w:szCs w:val="22"/>
                <w:lang w:val="en-US"/>
              </w:rPr>
            </w:pPr>
            <w:r w:rsidRPr="00B212F1">
              <w:rPr>
                <w:rFonts w:ascii="Arial" w:hAnsi="Arial" w:cs="Arial"/>
                <w:sz w:val="22"/>
                <w:szCs w:val="22"/>
              </w:rPr>
              <w:t xml:space="preserve">O’Brien, M. et al. (2017). Toward a systemic monitoring of the European bioeconomy: Gaps, needs and the integration of sustainability indicators and targets for global land use. Land Use Policy, 66, pp 162-171. </w:t>
            </w:r>
            <w:hyperlink r:id="rId12" w:tgtFrame="_blank" w:history="1">
              <w:r w:rsidRPr="00B212F1">
                <w:rPr>
                  <w:rStyle w:val="Hyperlink"/>
                  <w:rFonts w:ascii="Arial" w:hAnsi="Arial" w:cs="Arial"/>
                  <w:sz w:val="22"/>
                  <w:szCs w:val="22"/>
                </w:rPr>
                <w:t>https://doi.org/10.1016/j.landusepol.2017.04.047</w:t>
              </w:r>
            </w:hyperlink>
            <w:r w:rsidRPr="00B212F1">
              <w:rPr>
                <w:rFonts w:ascii="Arial" w:hAnsi="Arial" w:cs="Arial"/>
                <w:sz w:val="22"/>
                <w:szCs w:val="22"/>
              </w:rPr>
              <w:t>. </w:t>
            </w:r>
            <w:r w:rsidRPr="00B212F1">
              <w:rPr>
                <w:rFonts w:ascii="Arial" w:hAnsi="Arial" w:cs="Arial"/>
                <w:sz w:val="22"/>
                <w:szCs w:val="22"/>
                <w:lang w:val="en-US"/>
              </w:rPr>
              <w:t> </w:t>
            </w:r>
          </w:p>
          <w:p w14:paraId="0F65D7BD" w14:textId="77777777" w:rsidR="00B212F1" w:rsidRPr="00B212F1" w:rsidRDefault="00B212F1" w:rsidP="00B212F1">
            <w:pPr>
              <w:numPr>
                <w:ilvl w:val="0"/>
                <w:numId w:val="11"/>
              </w:numPr>
              <w:ind w:left="360"/>
              <w:rPr>
                <w:rFonts w:ascii="Arial" w:hAnsi="Arial" w:cs="Arial"/>
                <w:sz w:val="22"/>
                <w:szCs w:val="22"/>
                <w:lang w:val="en-US"/>
              </w:rPr>
            </w:pPr>
            <w:r w:rsidRPr="00B212F1">
              <w:rPr>
                <w:rFonts w:ascii="Arial" w:hAnsi="Arial" w:cs="Arial"/>
                <w:sz w:val="22"/>
                <w:szCs w:val="22"/>
              </w:rPr>
              <w:t xml:space="preserve">Rajabi, S., et. Al. (2022). Identification and assessment of sustainability performance indicators for construction projects, Environmental and Sustainability Indicators, 15. </w:t>
            </w:r>
            <w:hyperlink r:id="rId13" w:tgtFrame="_blank" w:history="1">
              <w:r w:rsidRPr="00B212F1">
                <w:rPr>
                  <w:rStyle w:val="Hyperlink"/>
                  <w:rFonts w:ascii="Arial" w:hAnsi="Arial" w:cs="Arial"/>
                  <w:sz w:val="22"/>
                  <w:szCs w:val="22"/>
                </w:rPr>
                <w:t>https://doi.org/10.1016/j.indic.2022.100193</w:t>
              </w:r>
            </w:hyperlink>
            <w:r w:rsidRPr="00B212F1">
              <w:rPr>
                <w:rFonts w:ascii="Arial" w:hAnsi="Arial" w:cs="Arial"/>
                <w:sz w:val="22"/>
                <w:szCs w:val="22"/>
              </w:rPr>
              <w:t>.</w:t>
            </w:r>
            <w:r w:rsidRPr="00B212F1">
              <w:rPr>
                <w:rFonts w:ascii="Arial" w:hAnsi="Arial" w:cs="Arial"/>
                <w:sz w:val="22"/>
                <w:szCs w:val="22"/>
                <w:lang w:val="en-US"/>
              </w:rPr>
              <w:t> </w:t>
            </w:r>
          </w:p>
          <w:p w14:paraId="78221664" w14:textId="77777777" w:rsidR="00B212F1" w:rsidRPr="00B212F1" w:rsidRDefault="00B212F1" w:rsidP="00B212F1">
            <w:pPr>
              <w:rPr>
                <w:rFonts w:ascii="Arial" w:hAnsi="Arial" w:cs="Arial"/>
                <w:lang w:val="en-CA"/>
              </w:rPr>
            </w:pPr>
          </w:p>
          <w:p w14:paraId="2CBAECD6" w14:textId="729DADBB" w:rsidR="009F4EA0" w:rsidRPr="00C86516" w:rsidRDefault="009F4EA0" w:rsidP="00C86516">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572C"/>
    <w:multiLevelType w:val="multilevel"/>
    <w:tmpl w:val="08564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A94262"/>
    <w:multiLevelType w:val="multilevel"/>
    <w:tmpl w:val="BAAAA4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111034A"/>
    <w:multiLevelType w:val="multilevel"/>
    <w:tmpl w:val="0ADA9F64"/>
    <w:lvl w:ilvl="0">
      <w:start w:val="1"/>
      <w:numFmt w:val="decimal"/>
      <w:lvlText w:val="%1."/>
      <w:lvlJc w:val="left"/>
      <w:pPr>
        <w:tabs>
          <w:tab w:val="num" w:pos="360"/>
        </w:tabs>
        <w:ind w:left="360" w:hanging="360"/>
      </w:pPr>
      <w:rPr>
        <w:rFonts w:ascii="Times New Roman" w:eastAsiaTheme="minorHAnsi" w:hAnsi="Times New Roman" w:cs="Times New Roman" w:hint="default"/>
        <w:b w:val="0"/>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2C741EF"/>
    <w:multiLevelType w:val="multilevel"/>
    <w:tmpl w:val="414A11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091A6E"/>
    <w:multiLevelType w:val="multilevel"/>
    <w:tmpl w:val="33A6DB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AF340E"/>
    <w:multiLevelType w:val="multilevel"/>
    <w:tmpl w:val="51E8BD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E9424C"/>
    <w:multiLevelType w:val="hybridMultilevel"/>
    <w:tmpl w:val="446E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91006"/>
    <w:multiLevelType w:val="multilevel"/>
    <w:tmpl w:val="BC7462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2"/>
  </w:num>
  <w:num w:numId="2" w16cid:durableId="1027095654">
    <w:abstractNumId w:val="10"/>
  </w:num>
  <w:num w:numId="3" w16cid:durableId="1316374630">
    <w:abstractNumId w:val="3"/>
  </w:num>
  <w:num w:numId="4" w16cid:durableId="1281761021">
    <w:abstractNumId w:val="4"/>
  </w:num>
  <w:num w:numId="5" w16cid:durableId="613562784">
    <w:abstractNumId w:val="8"/>
  </w:num>
  <w:num w:numId="6" w16cid:durableId="472022915">
    <w:abstractNumId w:val="0"/>
  </w:num>
  <w:num w:numId="7" w16cid:durableId="1747150655">
    <w:abstractNumId w:val="6"/>
  </w:num>
  <w:num w:numId="8" w16cid:durableId="1937862215">
    <w:abstractNumId w:val="7"/>
  </w:num>
  <w:num w:numId="9" w16cid:durableId="1840802841">
    <w:abstractNumId w:val="9"/>
  </w:num>
  <w:num w:numId="10" w16cid:durableId="838884894">
    <w:abstractNumId w:val="1"/>
  </w:num>
  <w:num w:numId="11" w16cid:durableId="1748381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72E0D"/>
    <w:rsid w:val="000A2F6A"/>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3575A"/>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212F1"/>
    <w:rsid w:val="00BA0872"/>
    <w:rsid w:val="00BA26BB"/>
    <w:rsid w:val="00BC6810"/>
    <w:rsid w:val="00BE0B4D"/>
    <w:rsid w:val="00BE58D6"/>
    <w:rsid w:val="00C26081"/>
    <w:rsid w:val="00C4126D"/>
    <w:rsid w:val="00C76C99"/>
    <w:rsid w:val="00C8423A"/>
    <w:rsid w:val="00C86516"/>
    <w:rsid w:val="00CE53FE"/>
    <w:rsid w:val="00D716AD"/>
    <w:rsid w:val="00DB7929"/>
    <w:rsid w:val="00DD1BB3"/>
    <w:rsid w:val="00E612FF"/>
    <w:rsid w:val="00EB1B31"/>
    <w:rsid w:val="00EE1809"/>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B212F1"/>
    <w:rPr>
      <w:color w:val="0563C1" w:themeColor="hyperlink"/>
      <w:u w:val="single"/>
    </w:rPr>
  </w:style>
  <w:style w:type="character" w:styleId="UnresolvedMention">
    <w:name w:val="Unresolved Mention"/>
    <w:basedOn w:val="DefaultParagraphFont"/>
    <w:uiPriority w:val="99"/>
    <w:semiHidden/>
    <w:unhideWhenUsed/>
    <w:rsid w:val="00B2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568">
      <w:bodyDiv w:val="1"/>
      <w:marLeft w:val="0"/>
      <w:marRight w:val="0"/>
      <w:marTop w:val="0"/>
      <w:marBottom w:val="0"/>
      <w:divBdr>
        <w:top w:val="none" w:sz="0" w:space="0" w:color="auto"/>
        <w:left w:val="none" w:sz="0" w:space="0" w:color="auto"/>
        <w:bottom w:val="none" w:sz="0" w:space="0" w:color="auto"/>
        <w:right w:val="none" w:sz="0" w:space="0" w:color="auto"/>
      </w:divBdr>
      <w:divsChild>
        <w:div w:id="1221476197">
          <w:marLeft w:val="0"/>
          <w:marRight w:val="0"/>
          <w:marTop w:val="0"/>
          <w:marBottom w:val="0"/>
          <w:divBdr>
            <w:top w:val="none" w:sz="0" w:space="0" w:color="auto"/>
            <w:left w:val="none" w:sz="0" w:space="0" w:color="auto"/>
            <w:bottom w:val="none" w:sz="0" w:space="0" w:color="auto"/>
            <w:right w:val="none" w:sz="0" w:space="0" w:color="auto"/>
          </w:divBdr>
        </w:div>
        <w:div w:id="728772276">
          <w:marLeft w:val="0"/>
          <w:marRight w:val="0"/>
          <w:marTop w:val="0"/>
          <w:marBottom w:val="0"/>
          <w:divBdr>
            <w:top w:val="none" w:sz="0" w:space="0" w:color="auto"/>
            <w:left w:val="none" w:sz="0" w:space="0" w:color="auto"/>
            <w:bottom w:val="none" w:sz="0" w:space="0" w:color="auto"/>
            <w:right w:val="none" w:sz="0" w:space="0" w:color="auto"/>
          </w:divBdr>
        </w:div>
        <w:div w:id="621111566">
          <w:marLeft w:val="0"/>
          <w:marRight w:val="0"/>
          <w:marTop w:val="0"/>
          <w:marBottom w:val="0"/>
          <w:divBdr>
            <w:top w:val="none" w:sz="0" w:space="0" w:color="auto"/>
            <w:left w:val="none" w:sz="0" w:space="0" w:color="auto"/>
            <w:bottom w:val="none" w:sz="0" w:space="0" w:color="auto"/>
            <w:right w:val="none" w:sz="0" w:space="0" w:color="auto"/>
          </w:divBdr>
        </w:div>
        <w:div w:id="1711224638">
          <w:marLeft w:val="0"/>
          <w:marRight w:val="0"/>
          <w:marTop w:val="0"/>
          <w:marBottom w:val="0"/>
          <w:divBdr>
            <w:top w:val="none" w:sz="0" w:space="0" w:color="auto"/>
            <w:left w:val="none" w:sz="0" w:space="0" w:color="auto"/>
            <w:bottom w:val="none" w:sz="0" w:space="0" w:color="auto"/>
            <w:right w:val="none" w:sz="0" w:space="0" w:color="auto"/>
          </w:divBdr>
        </w:div>
        <w:div w:id="1314488109">
          <w:marLeft w:val="0"/>
          <w:marRight w:val="0"/>
          <w:marTop w:val="0"/>
          <w:marBottom w:val="0"/>
          <w:divBdr>
            <w:top w:val="none" w:sz="0" w:space="0" w:color="auto"/>
            <w:left w:val="none" w:sz="0" w:space="0" w:color="auto"/>
            <w:bottom w:val="none" w:sz="0" w:space="0" w:color="auto"/>
            <w:right w:val="none" w:sz="0" w:space="0" w:color="auto"/>
          </w:divBdr>
        </w:div>
        <w:div w:id="1655720016">
          <w:marLeft w:val="0"/>
          <w:marRight w:val="0"/>
          <w:marTop w:val="0"/>
          <w:marBottom w:val="0"/>
          <w:divBdr>
            <w:top w:val="none" w:sz="0" w:space="0" w:color="auto"/>
            <w:left w:val="none" w:sz="0" w:space="0" w:color="auto"/>
            <w:bottom w:val="none" w:sz="0" w:space="0" w:color="auto"/>
            <w:right w:val="none" w:sz="0" w:space="0" w:color="auto"/>
          </w:divBdr>
        </w:div>
        <w:div w:id="1284263331">
          <w:marLeft w:val="0"/>
          <w:marRight w:val="0"/>
          <w:marTop w:val="0"/>
          <w:marBottom w:val="0"/>
          <w:divBdr>
            <w:top w:val="none" w:sz="0" w:space="0" w:color="auto"/>
            <w:left w:val="none" w:sz="0" w:space="0" w:color="auto"/>
            <w:bottom w:val="none" w:sz="0" w:space="0" w:color="auto"/>
            <w:right w:val="none" w:sz="0" w:space="0" w:color="auto"/>
          </w:divBdr>
        </w:div>
      </w:divsChild>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861823627">
      <w:bodyDiv w:val="1"/>
      <w:marLeft w:val="0"/>
      <w:marRight w:val="0"/>
      <w:marTop w:val="0"/>
      <w:marBottom w:val="0"/>
      <w:divBdr>
        <w:top w:val="none" w:sz="0" w:space="0" w:color="auto"/>
        <w:left w:val="none" w:sz="0" w:space="0" w:color="auto"/>
        <w:bottom w:val="none" w:sz="0" w:space="0" w:color="auto"/>
        <w:right w:val="none" w:sz="0" w:space="0" w:color="auto"/>
      </w:divBdr>
      <w:divsChild>
        <w:div w:id="1092624354">
          <w:marLeft w:val="0"/>
          <w:marRight w:val="0"/>
          <w:marTop w:val="0"/>
          <w:marBottom w:val="0"/>
          <w:divBdr>
            <w:top w:val="none" w:sz="0" w:space="0" w:color="auto"/>
            <w:left w:val="none" w:sz="0" w:space="0" w:color="auto"/>
            <w:bottom w:val="none" w:sz="0" w:space="0" w:color="auto"/>
            <w:right w:val="none" w:sz="0" w:space="0" w:color="auto"/>
          </w:divBdr>
        </w:div>
        <w:div w:id="1947541640">
          <w:marLeft w:val="0"/>
          <w:marRight w:val="0"/>
          <w:marTop w:val="0"/>
          <w:marBottom w:val="0"/>
          <w:divBdr>
            <w:top w:val="none" w:sz="0" w:space="0" w:color="auto"/>
            <w:left w:val="none" w:sz="0" w:space="0" w:color="auto"/>
            <w:bottom w:val="none" w:sz="0" w:space="0" w:color="auto"/>
            <w:right w:val="none" w:sz="0" w:space="0" w:color="auto"/>
          </w:divBdr>
        </w:div>
        <w:div w:id="1804419613">
          <w:marLeft w:val="0"/>
          <w:marRight w:val="0"/>
          <w:marTop w:val="0"/>
          <w:marBottom w:val="0"/>
          <w:divBdr>
            <w:top w:val="none" w:sz="0" w:space="0" w:color="auto"/>
            <w:left w:val="none" w:sz="0" w:space="0" w:color="auto"/>
            <w:bottom w:val="none" w:sz="0" w:space="0" w:color="auto"/>
            <w:right w:val="none" w:sz="0" w:space="0" w:color="auto"/>
          </w:divBdr>
        </w:div>
        <w:div w:id="1128931728">
          <w:marLeft w:val="0"/>
          <w:marRight w:val="0"/>
          <w:marTop w:val="0"/>
          <w:marBottom w:val="0"/>
          <w:divBdr>
            <w:top w:val="none" w:sz="0" w:space="0" w:color="auto"/>
            <w:left w:val="none" w:sz="0" w:space="0" w:color="auto"/>
            <w:bottom w:val="none" w:sz="0" w:space="0" w:color="auto"/>
            <w:right w:val="none" w:sz="0" w:space="0" w:color="auto"/>
          </w:divBdr>
        </w:div>
        <w:div w:id="1150832770">
          <w:marLeft w:val="0"/>
          <w:marRight w:val="0"/>
          <w:marTop w:val="0"/>
          <w:marBottom w:val="0"/>
          <w:divBdr>
            <w:top w:val="none" w:sz="0" w:space="0" w:color="auto"/>
            <w:left w:val="none" w:sz="0" w:space="0" w:color="auto"/>
            <w:bottom w:val="none" w:sz="0" w:space="0" w:color="auto"/>
            <w:right w:val="none" w:sz="0" w:space="0" w:color="auto"/>
          </w:divBdr>
        </w:div>
        <w:div w:id="1796828529">
          <w:marLeft w:val="0"/>
          <w:marRight w:val="0"/>
          <w:marTop w:val="0"/>
          <w:marBottom w:val="0"/>
          <w:divBdr>
            <w:top w:val="none" w:sz="0" w:space="0" w:color="auto"/>
            <w:left w:val="none" w:sz="0" w:space="0" w:color="auto"/>
            <w:bottom w:val="none" w:sz="0" w:space="0" w:color="auto"/>
            <w:right w:val="none" w:sz="0" w:space="0" w:color="auto"/>
          </w:divBdr>
        </w:div>
        <w:div w:id="1853107328">
          <w:marLeft w:val="0"/>
          <w:marRight w:val="0"/>
          <w:marTop w:val="0"/>
          <w:marBottom w:val="0"/>
          <w:divBdr>
            <w:top w:val="none" w:sz="0" w:space="0" w:color="auto"/>
            <w:left w:val="none" w:sz="0" w:space="0" w:color="auto"/>
            <w:bottom w:val="none" w:sz="0" w:space="0" w:color="auto"/>
            <w:right w:val="none" w:sz="0" w:space="0" w:color="auto"/>
          </w:divBdr>
        </w:div>
      </w:divsChild>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adapt.eea.europa.eu/en/knowledge/tools/urban-ast/step-6-2" TargetMode="External"/><Relationship Id="rId13" Type="http://schemas.openxmlformats.org/officeDocument/2006/relationships/hyperlink" Target="https://doi.org/10.1016/j.indic.2022.10019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16/j.landusepol.2017.04.04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ecolind.2011.04.03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apglobalnetwork.org/2023/03/climate-adaptation-gaps-ipcc-synthesis-report/" TargetMode="External"/><Relationship Id="rId4" Type="http://schemas.openxmlformats.org/officeDocument/2006/relationships/numbering" Target="numbering.xml"/><Relationship Id="rId9" Type="http://schemas.openxmlformats.org/officeDocument/2006/relationships/hyperlink" Target="https://icleicanada.org/wp-content/uploads/2022/06/Introducing-Indicators_FINA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5BE74-AD1F-4C4E-9DF2-29AC9B47D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purl.org/dc/terms/"/>
    <ds:schemaRef ds:uri="http://schemas.microsoft.com/office/infopath/2007/PartnerControls"/>
    <ds:schemaRef ds:uri="http://schemas.microsoft.com/office/2006/documentManagement/types"/>
    <ds:schemaRef ds:uri="http://purl.org/dc/dcmitype/"/>
    <ds:schemaRef ds:uri="9c8a2b7b-0bee-4c48-b0a6-23db8982d3bc"/>
    <ds:schemaRef ds:uri="6911e96c-4cc4-42d5-8e43-f93924cf6a05"/>
    <ds:schemaRef ds:uri="http://schemas.openxmlformats.org/package/2006/metadata/core-properties"/>
    <ds:schemaRef ds:uri="cab52c9b-ab33-4221-8af9-54f8f2b86a80"/>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4471</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2025-03-03T06:08:00Z</dcterms:created>
  <dcterms:modified xsi:type="dcterms:W3CDTF">2025-08-12T21:22:00Z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