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37C252DF" w:rsidR="00C8423A" w:rsidRPr="0021304A" w:rsidRDefault="0021304A" w:rsidP="00706DED">
            <w:pPr>
              <w:jc w:val="both"/>
              <w:rPr>
                <w:rFonts w:ascii="Arial" w:hAnsi="Arial" w:cs="Arial"/>
                <w:bCs/>
                <w:i/>
                <w:iCs/>
                <w:sz w:val="22"/>
                <w:szCs w:val="22"/>
              </w:rPr>
            </w:pPr>
            <w:r w:rsidRPr="0021304A">
              <w:rPr>
                <w:rFonts w:ascii="Arial" w:hAnsi="Arial" w:cs="Arial"/>
                <w:bCs/>
                <w:i/>
                <w:iCs/>
                <w:sz w:val="22"/>
                <w:szCs w:val="22"/>
              </w:rPr>
              <w:t>Paper</w:t>
            </w:r>
          </w:p>
          <w:p w14:paraId="468C6338" w14:textId="77777777" w:rsidR="00C8423A" w:rsidRDefault="00B55865" w:rsidP="0065012F">
            <w:pPr>
              <w:tabs>
                <w:tab w:val="left" w:pos="3386"/>
              </w:tabs>
              <w:jc w:val="both"/>
              <w:rPr>
                <w:rFonts w:ascii="Arial" w:hAnsi="Arial" w:cs="Arial"/>
                <w:b/>
                <w:bCs/>
                <w:sz w:val="22"/>
                <w:szCs w:val="22"/>
              </w:rPr>
            </w:pPr>
            <w:r>
              <w:rPr>
                <w:rFonts w:ascii="Arial" w:hAnsi="Arial" w:cs="Arial"/>
                <w:b/>
                <w:bCs/>
                <w:sz w:val="22"/>
                <w:szCs w:val="22"/>
              </w:rPr>
              <w:t xml:space="preserve">Examining </w:t>
            </w:r>
            <w:r w:rsidR="00B051B5">
              <w:rPr>
                <w:rFonts w:ascii="Arial" w:hAnsi="Arial" w:cs="Arial"/>
                <w:b/>
                <w:bCs/>
                <w:sz w:val="22"/>
                <w:szCs w:val="22"/>
              </w:rPr>
              <w:t>r</w:t>
            </w:r>
            <w:r>
              <w:rPr>
                <w:rFonts w:ascii="Arial" w:hAnsi="Arial" w:cs="Arial"/>
                <w:b/>
                <w:bCs/>
                <w:sz w:val="22"/>
                <w:szCs w:val="22"/>
              </w:rPr>
              <w:t xml:space="preserve">esidential </w:t>
            </w:r>
            <w:r w:rsidR="00B051B5">
              <w:rPr>
                <w:rFonts w:ascii="Arial" w:hAnsi="Arial" w:cs="Arial"/>
                <w:b/>
                <w:bCs/>
                <w:sz w:val="22"/>
                <w:szCs w:val="22"/>
              </w:rPr>
              <w:t>b</w:t>
            </w:r>
            <w:r>
              <w:rPr>
                <w:rFonts w:ascii="Arial" w:hAnsi="Arial" w:cs="Arial"/>
                <w:b/>
                <w:bCs/>
                <w:sz w:val="22"/>
                <w:szCs w:val="22"/>
              </w:rPr>
              <w:t xml:space="preserve">uyouts in </w:t>
            </w:r>
            <w:r w:rsidR="00B051B5">
              <w:rPr>
                <w:rFonts w:ascii="Arial" w:hAnsi="Arial" w:cs="Arial"/>
                <w:b/>
                <w:bCs/>
                <w:sz w:val="22"/>
                <w:szCs w:val="22"/>
              </w:rPr>
              <w:t>r</w:t>
            </w:r>
            <w:r>
              <w:rPr>
                <w:rFonts w:ascii="Arial" w:hAnsi="Arial" w:cs="Arial"/>
                <w:b/>
                <w:bCs/>
                <w:sz w:val="22"/>
                <w:szCs w:val="22"/>
              </w:rPr>
              <w:t xml:space="preserve">ural Carolinas in the US </w:t>
            </w:r>
            <w:r w:rsidR="00B051B5">
              <w:rPr>
                <w:rFonts w:ascii="Arial" w:hAnsi="Arial" w:cs="Arial"/>
                <w:b/>
                <w:bCs/>
                <w:sz w:val="22"/>
                <w:szCs w:val="22"/>
              </w:rPr>
              <w:t>t</w:t>
            </w:r>
            <w:r>
              <w:rPr>
                <w:rFonts w:ascii="Arial" w:hAnsi="Arial" w:cs="Arial"/>
                <w:b/>
                <w:bCs/>
                <w:sz w:val="22"/>
                <w:szCs w:val="22"/>
              </w:rPr>
              <w:t xml:space="preserve">hrough the </w:t>
            </w:r>
            <w:r w:rsidR="00B051B5">
              <w:rPr>
                <w:rFonts w:ascii="Arial" w:hAnsi="Arial" w:cs="Arial"/>
                <w:b/>
                <w:bCs/>
                <w:sz w:val="22"/>
                <w:szCs w:val="22"/>
              </w:rPr>
              <w:t>l</w:t>
            </w:r>
            <w:r>
              <w:rPr>
                <w:rFonts w:ascii="Arial" w:hAnsi="Arial" w:cs="Arial"/>
                <w:b/>
                <w:bCs/>
                <w:sz w:val="22"/>
                <w:szCs w:val="22"/>
              </w:rPr>
              <w:t xml:space="preserve">ens of the </w:t>
            </w:r>
            <w:r w:rsidR="00B051B5">
              <w:rPr>
                <w:rFonts w:ascii="Arial" w:hAnsi="Arial" w:cs="Arial"/>
                <w:b/>
                <w:bCs/>
                <w:sz w:val="22"/>
                <w:szCs w:val="22"/>
              </w:rPr>
              <w:t>h</w:t>
            </w:r>
            <w:r>
              <w:rPr>
                <w:rFonts w:ascii="Arial" w:hAnsi="Arial" w:cs="Arial"/>
                <w:b/>
                <w:bCs/>
                <w:sz w:val="22"/>
                <w:szCs w:val="22"/>
              </w:rPr>
              <w:t xml:space="preserve">ousing </w:t>
            </w:r>
            <w:r w:rsidR="00B051B5">
              <w:rPr>
                <w:rFonts w:ascii="Arial" w:hAnsi="Arial" w:cs="Arial"/>
                <w:b/>
                <w:bCs/>
                <w:sz w:val="22"/>
                <w:szCs w:val="22"/>
              </w:rPr>
              <w:t>m</w:t>
            </w:r>
            <w:r>
              <w:rPr>
                <w:rFonts w:ascii="Arial" w:hAnsi="Arial" w:cs="Arial"/>
                <w:b/>
                <w:bCs/>
                <w:sz w:val="22"/>
                <w:szCs w:val="22"/>
              </w:rPr>
              <w:t>arket</w:t>
            </w:r>
          </w:p>
          <w:p w14:paraId="3F7D1534" w14:textId="5CF8E1EB" w:rsidR="0021304A" w:rsidRPr="009C75AE" w:rsidRDefault="0021304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Pr="00246F0A" w:rsidRDefault="00C8423A" w:rsidP="00FF1D40">
            <w:pPr>
              <w:rPr>
                <w:rFonts w:ascii="Arial" w:hAnsi="Arial" w:cs="Arial"/>
                <w:b/>
                <w:sz w:val="22"/>
                <w:szCs w:val="22"/>
              </w:rPr>
            </w:pPr>
          </w:p>
          <w:p w14:paraId="131A5F05" w14:textId="77777777" w:rsidR="0065012F" w:rsidRPr="00246F0A" w:rsidRDefault="0065012F" w:rsidP="00FF1D40">
            <w:pPr>
              <w:rPr>
                <w:rFonts w:ascii="Arial" w:hAnsi="Arial" w:cs="Arial"/>
                <w:b/>
                <w:sz w:val="22"/>
                <w:szCs w:val="22"/>
              </w:rPr>
            </w:pPr>
            <w:r w:rsidRPr="00246F0A">
              <w:rPr>
                <w:rFonts w:ascii="Arial" w:hAnsi="Arial" w:cs="Arial"/>
                <w:b/>
                <w:sz w:val="22"/>
                <w:szCs w:val="22"/>
              </w:rPr>
              <w:t>Introduction</w:t>
            </w:r>
          </w:p>
          <w:p w14:paraId="27F8C859" w14:textId="577C2B31" w:rsidR="007B44FE" w:rsidRPr="00246F0A" w:rsidRDefault="007B44FE" w:rsidP="00FF1D40">
            <w:pPr>
              <w:rPr>
                <w:rFonts w:ascii="Arial" w:hAnsi="Arial" w:cs="Arial"/>
                <w:color w:val="000000"/>
                <w:sz w:val="22"/>
                <w:szCs w:val="22"/>
                <w:lang w:val="en-US"/>
              </w:rPr>
            </w:pPr>
            <w:r w:rsidRPr="00246F0A">
              <w:rPr>
                <w:rFonts w:ascii="Arial" w:hAnsi="Arial" w:cs="Arial"/>
                <w:sz w:val="22"/>
                <w:szCs w:val="22"/>
              </w:rPr>
              <w:t>The frequency of flooding in the United States (US) is expected to increase with climate change (Hoffman et al. 2023) and 15 million Americans are projected to be underwater by 2100 (Hauer 2016).</w:t>
            </w:r>
            <w:r w:rsidR="00766FEB" w:rsidRPr="00246F0A">
              <w:rPr>
                <w:rFonts w:ascii="Arial" w:hAnsi="Arial" w:cs="Arial"/>
                <w:sz w:val="22"/>
                <w:szCs w:val="22"/>
              </w:rPr>
              <w:t xml:space="preserve"> </w:t>
            </w:r>
            <w:r w:rsidR="00147D03" w:rsidRPr="00375C56">
              <w:rPr>
                <w:rFonts w:ascii="Arial" w:hAnsi="Arial" w:cs="Arial"/>
                <w:sz w:val="22"/>
                <w:szCs w:val="22"/>
              </w:rPr>
              <w:t>Voluntary buyouts of residential properties, at risk of repeat flooding, are increasingly being offered as a long-term mitigation solution in the US.</w:t>
            </w:r>
            <w:r w:rsidR="00147D03">
              <w:rPr>
                <w:rFonts w:ascii="Arial" w:hAnsi="Arial" w:cs="Arial"/>
                <w:sz w:val="22"/>
                <w:szCs w:val="22"/>
              </w:rPr>
              <w:t xml:space="preserve"> </w:t>
            </w:r>
            <w:r w:rsidR="006D79A3" w:rsidRPr="00246F0A">
              <w:rPr>
                <w:rFonts w:ascii="Arial" w:hAnsi="Arial" w:cs="Arial"/>
                <w:sz w:val="22"/>
                <w:szCs w:val="22"/>
              </w:rPr>
              <w:t xml:space="preserve">In a buyout, governments purchase and remove severely damaged buildings or repetitive loss properties or relocate structures to areas with lower flood risk (Mach et al. 2019). </w:t>
            </w:r>
            <w:r w:rsidR="00915323" w:rsidRPr="00246F0A">
              <w:rPr>
                <w:rFonts w:ascii="Arial" w:hAnsi="Arial" w:cs="Arial"/>
                <w:sz w:val="22"/>
                <w:szCs w:val="22"/>
              </w:rPr>
              <w:t>I</w:t>
            </w:r>
            <w:r w:rsidR="006D79A3" w:rsidRPr="00246F0A">
              <w:rPr>
                <w:rFonts w:ascii="Arial" w:hAnsi="Arial" w:cs="Arial"/>
                <w:sz w:val="22"/>
                <w:szCs w:val="22"/>
              </w:rPr>
              <w:t xml:space="preserve">n rural communities, </w:t>
            </w:r>
            <w:r w:rsidR="006D79A3" w:rsidRPr="00246F0A">
              <w:rPr>
                <w:rFonts w:ascii="Arial" w:hAnsi="Arial" w:cs="Arial"/>
                <w:color w:val="000000"/>
                <w:sz w:val="22"/>
                <w:szCs w:val="22"/>
                <w:lang w:val="en-US"/>
              </w:rPr>
              <w:t>households participating in a buyout can struggle to find alternate affordable housing and tend to leave the area. This, in turn, decreases the tax base reducing a jurisdiction’s fiscal capacity to address flooding and a loss of identity, history and community (</w:t>
            </w:r>
            <w:proofErr w:type="spellStart"/>
            <w:r w:rsidR="006D79A3" w:rsidRPr="00246F0A">
              <w:rPr>
                <w:rFonts w:ascii="Arial" w:hAnsi="Arial" w:cs="Arial"/>
                <w:color w:val="000000"/>
                <w:sz w:val="22"/>
                <w:szCs w:val="22"/>
                <w:lang w:val="en-US"/>
              </w:rPr>
              <w:t>Flavelle</w:t>
            </w:r>
            <w:proofErr w:type="spellEnd"/>
            <w:r w:rsidR="006D79A3" w:rsidRPr="00246F0A">
              <w:rPr>
                <w:rFonts w:ascii="Arial" w:hAnsi="Arial" w:cs="Arial"/>
                <w:color w:val="000000"/>
                <w:sz w:val="22"/>
                <w:szCs w:val="22"/>
                <w:lang w:val="en-US"/>
              </w:rPr>
              <w:t xml:space="preserve"> </w:t>
            </w:r>
            <w:r w:rsidR="006D79A3" w:rsidRPr="00246F0A">
              <w:rPr>
                <w:rFonts w:ascii="Arial" w:hAnsi="Arial" w:cs="Arial"/>
                <w:color w:val="000081"/>
                <w:sz w:val="22"/>
                <w:szCs w:val="22"/>
                <w:lang w:val="en-US"/>
              </w:rPr>
              <w:t>2021</w:t>
            </w:r>
            <w:r w:rsidR="006D79A3" w:rsidRPr="00246F0A">
              <w:rPr>
                <w:rFonts w:ascii="Arial" w:hAnsi="Arial" w:cs="Arial"/>
                <w:color w:val="000000"/>
                <w:sz w:val="22"/>
                <w:szCs w:val="22"/>
                <w:lang w:val="en-US"/>
              </w:rPr>
              <w:t>).</w:t>
            </w:r>
          </w:p>
          <w:p w14:paraId="2796AAFB" w14:textId="4A9A9661" w:rsidR="007B44FE" w:rsidRPr="00246F0A" w:rsidRDefault="007B44FE" w:rsidP="00FF1D40">
            <w:pPr>
              <w:rPr>
                <w:rFonts w:ascii="Arial" w:hAnsi="Arial" w:cs="Arial"/>
                <w:b/>
                <w:sz w:val="22"/>
                <w:szCs w:val="22"/>
              </w:rPr>
            </w:pPr>
          </w:p>
          <w:p w14:paraId="5DE13B32" w14:textId="77777777" w:rsidR="0065012F" w:rsidRPr="00246F0A" w:rsidRDefault="0065012F" w:rsidP="00FF1D40">
            <w:pPr>
              <w:rPr>
                <w:rFonts w:ascii="Arial" w:hAnsi="Arial" w:cs="Arial"/>
                <w:b/>
                <w:sz w:val="22"/>
                <w:szCs w:val="22"/>
              </w:rPr>
            </w:pPr>
            <w:r w:rsidRPr="00246F0A">
              <w:rPr>
                <w:rFonts w:ascii="Arial" w:hAnsi="Arial" w:cs="Arial"/>
                <w:b/>
                <w:sz w:val="22"/>
                <w:szCs w:val="22"/>
              </w:rPr>
              <w:t>Objectives</w:t>
            </w:r>
          </w:p>
          <w:p w14:paraId="7DF7D437" w14:textId="16998862" w:rsidR="0065012F" w:rsidRPr="00246F0A" w:rsidRDefault="006D79A3" w:rsidP="00FF1D40">
            <w:pPr>
              <w:pStyle w:val="Default"/>
              <w:rPr>
                <w:rFonts w:ascii="Arial" w:hAnsi="Arial" w:cs="Arial"/>
                <w:sz w:val="22"/>
                <w:szCs w:val="22"/>
              </w:rPr>
            </w:pPr>
            <w:r w:rsidRPr="00246F0A">
              <w:rPr>
                <w:rFonts w:ascii="Arial" w:hAnsi="Arial" w:cs="Arial"/>
                <w:bCs/>
                <w:sz w:val="22"/>
                <w:szCs w:val="22"/>
              </w:rPr>
              <w:t>In this study we examine the local housing market in two rural communities in the Carolinas in US</w:t>
            </w:r>
            <w:r w:rsidR="00915323" w:rsidRPr="00246F0A">
              <w:rPr>
                <w:rFonts w:ascii="Arial" w:hAnsi="Arial" w:cs="Arial"/>
                <w:bCs/>
                <w:sz w:val="22"/>
                <w:szCs w:val="22"/>
              </w:rPr>
              <w:t xml:space="preserve"> that have participated in current or past buyout programs</w:t>
            </w:r>
            <w:r w:rsidRPr="00246F0A">
              <w:rPr>
                <w:rFonts w:ascii="Arial" w:hAnsi="Arial" w:cs="Arial"/>
                <w:bCs/>
                <w:sz w:val="22"/>
                <w:szCs w:val="22"/>
              </w:rPr>
              <w:t xml:space="preserve"> </w:t>
            </w:r>
            <w:r w:rsidR="00147D03">
              <w:rPr>
                <w:rFonts w:ascii="Arial" w:hAnsi="Arial" w:cs="Arial"/>
                <w:bCs/>
                <w:sz w:val="22"/>
                <w:szCs w:val="22"/>
              </w:rPr>
              <w:t>–</w:t>
            </w:r>
            <w:r w:rsidRPr="00246F0A">
              <w:rPr>
                <w:rFonts w:ascii="Arial" w:hAnsi="Arial" w:cs="Arial"/>
                <w:bCs/>
                <w:sz w:val="22"/>
                <w:szCs w:val="22"/>
              </w:rPr>
              <w:t xml:space="preserve"> </w:t>
            </w:r>
            <w:r w:rsidRPr="00246F0A">
              <w:rPr>
                <w:rFonts w:ascii="Arial" w:hAnsi="Arial" w:cs="Arial"/>
                <w:sz w:val="22"/>
                <w:szCs w:val="22"/>
              </w:rPr>
              <w:t>Bennettsville in Marlboro County, South Carolina (SC), and Tarboro in Edgecombe County, North Carolina (NC)</w:t>
            </w:r>
            <w:r w:rsidR="00147D03">
              <w:rPr>
                <w:rFonts w:ascii="Arial" w:hAnsi="Arial" w:cs="Arial"/>
                <w:sz w:val="22"/>
                <w:szCs w:val="22"/>
              </w:rPr>
              <w:t xml:space="preserve"> </w:t>
            </w:r>
            <w:r w:rsidR="00915323" w:rsidRPr="00246F0A">
              <w:rPr>
                <w:rFonts w:ascii="Arial" w:hAnsi="Arial" w:cs="Arial"/>
                <w:sz w:val="22"/>
                <w:szCs w:val="22"/>
              </w:rPr>
              <w:t xml:space="preserve">– to understand the funding gaps </w:t>
            </w:r>
            <w:r w:rsidR="001C009B" w:rsidRPr="00246F0A">
              <w:rPr>
                <w:rFonts w:ascii="Arial" w:hAnsi="Arial" w:cs="Arial"/>
                <w:sz w:val="22"/>
                <w:szCs w:val="22"/>
              </w:rPr>
              <w:t xml:space="preserve">and </w:t>
            </w:r>
            <w:r w:rsidR="00766FEB" w:rsidRPr="00246F0A">
              <w:rPr>
                <w:rFonts w:ascii="Arial" w:hAnsi="Arial" w:cs="Arial"/>
                <w:sz w:val="22"/>
                <w:szCs w:val="22"/>
              </w:rPr>
              <w:t xml:space="preserve">housing </w:t>
            </w:r>
            <w:r w:rsidR="001C009B" w:rsidRPr="00246F0A">
              <w:rPr>
                <w:rFonts w:ascii="Arial" w:hAnsi="Arial" w:cs="Arial"/>
                <w:sz w:val="22"/>
                <w:szCs w:val="22"/>
              </w:rPr>
              <w:t xml:space="preserve">supply issues </w:t>
            </w:r>
            <w:r w:rsidR="00915323" w:rsidRPr="00246F0A">
              <w:rPr>
                <w:rFonts w:ascii="Arial" w:hAnsi="Arial" w:cs="Arial"/>
                <w:sz w:val="22"/>
                <w:szCs w:val="22"/>
              </w:rPr>
              <w:t>that households in a buyout program face</w:t>
            </w:r>
            <w:r w:rsidR="001C009B" w:rsidRPr="00246F0A">
              <w:rPr>
                <w:rFonts w:ascii="Arial" w:hAnsi="Arial" w:cs="Arial"/>
                <w:sz w:val="22"/>
                <w:szCs w:val="22"/>
              </w:rPr>
              <w:t xml:space="preserve"> when looking to purchase homes outside the </w:t>
            </w:r>
            <w:r w:rsidR="00147D03">
              <w:rPr>
                <w:rFonts w:ascii="Arial" w:hAnsi="Arial" w:cs="Arial"/>
                <w:sz w:val="22"/>
                <w:szCs w:val="22"/>
              </w:rPr>
              <w:t>floodplain</w:t>
            </w:r>
            <w:r w:rsidR="00C1598D">
              <w:rPr>
                <w:rFonts w:ascii="Arial" w:hAnsi="Arial" w:cs="Arial"/>
                <w:sz w:val="22"/>
                <w:szCs w:val="22"/>
              </w:rPr>
              <w:t xml:space="preserve"> </w:t>
            </w:r>
            <w:r w:rsidR="00C1598D" w:rsidRPr="00246F0A">
              <w:rPr>
                <w:rFonts w:ascii="Arial" w:hAnsi="Arial" w:cs="Arial"/>
                <w:bCs/>
                <w:sz w:val="22"/>
                <w:szCs w:val="22"/>
              </w:rPr>
              <w:t xml:space="preserve">(i.e. </w:t>
            </w:r>
            <w:r w:rsidR="00C1598D">
              <w:rPr>
                <w:rFonts w:ascii="Arial" w:hAnsi="Arial" w:cs="Arial"/>
                <w:bCs/>
                <w:sz w:val="22"/>
                <w:szCs w:val="22"/>
              </w:rPr>
              <w:t xml:space="preserve">high </w:t>
            </w:r>
            <w:r w:rsidR="00C1598D" w:rsidRPr="00246F0A">
              <w:rPr>
                <w:rFonts w:ascii="Arial" w:hAnsi="Arial" w:cs="Arial"/>
                <w:bCs/>
                <w:sz w:val="22"/>
                <w:szCs w:val="22"/>
              </w:rPr>
              <w:t>flood risk areas)</w:t>
            </w:r>
            <w:r w:rsidR="00915323" w:rsidRPr="00246F0A">
              <w:rPr>
                <w:rFonts w:ascii="Arial" w:hAnsi="Arial" w:cs="Arial"/>
                <w:sz w:val="22"/>
                <w:szCs w:val="22"/>
              </w:rPr>
              <w:t xml:space="preserve">. </w:t>
            </w:r>
            <w:r w:rsidRPr="00246F0A">
              <w:rPr>
                <w:rFonts w:ascii="Arial" w:hAnsi="Arial" w:cs="Arial"/>
                <w:sz w:val="22"/>
                <w:szCs w:val="22"/>
              </w:rPr>
              <w:t xml:space="preserve">Both </w:t>
            </w:r>
            <w:r w:rsidR="00915323" w:rsidRPr="00246F0A">
              <w:rPr>
                <w:rFonts w:ascii="Arial" w:hAnsi="Arial" w:cs="Arial"/>
                <w:sz w:val="22"/>
                <w:szCs w:val="22"/>
              </w:rPr>
              <w:t>Benne</w:t>
            </w:r>
            <w:r w:rsidR="00246F0A">
              <w:rPr>
                <w:rFonts w:ascii="Arial" w:hAnsi="Arial" w:cs="Arial"/>
                <w:sz w:val="22"/>
                <w:szCs w:val="22"/>
              </w:rPr>
              <w:t>t</w:t>
            </w:r>
            <w:r w:rsidR="00915323" w:rsidRPr="00246F0A">
              <w:rPr>
                <w:rFonts w:ascii="Arial" w:hAnsi="Arial" w:cs="Arial"/>
                <w:sz w:val="22"/>
                <w:szCs w:val="22"/>
              </w:rPr>
              <w:t xml:space="preserve">tsville and Tarboro </w:t>
            </w:r>
            <w:r w:rsidRPr="00246F0A">
              <w:rPr>
                <w:rFonts w:ascii="Arial" w:hAnsi="Arial" w:cs="Arial"/>
                <w:sz w:val="22"/>
                <w:szCs w:val="22"/>
              </w:rPr>
              <w:t>are rural, underserved, low-income communities with a predominantly Black population, that have experienced repeated flooding</w:t>
            </w:r>
            <w:r w:rsidR="00915323" w:rsidRPr="00246F0A">
              <w:rPr>
                <w:rFonts w:ascii="Arial" w:hAnsi="Arial" w:cs="Arial"/>
                <w:sz w:val="22"/>
                <w:szCs w:val="22"/>
              </w:rPr>
              <w:t>.</w:t>
            </w:r>
          </w:p>
          <w:p w14:paraId="208A68CF" w14:textId="77777777" w:rsidR="006D79A3" w:rsidRPr="00246F0A" w:rsidRDefault="006D79A3" w:rsidP="00FF1D40">
            <w:pPr>
              <w:rPr>
                <w:rFonts w:ascii="Arial" w:hAnsi="Arial" w:cs="Arial"/>
                <w:bCs/>
                <w:sz w:val="22"/>
                <w:szCs w:val="22"/>
              </w:rPr>
            </w:pPr>
          </w:p>
          <w:p w14:paraId="457D2D05" w14:textId="4552866C" w:rsidR="0065012F" w:rsidRPr="00246F0A" w:rsidRDefault="00906B39" w:rsidP="00FF1D40">
            <w:pPr>
              <w:rPr>
                <w:rFonts w:ascii="Arial" w:hAnsi="Arial" w:cs="Arial"/>
                <w:b/>
                <w:sz w:val="22"/>
                <w:szCs w:val="22"/>
              </w:rPr>
            </w:pPr>
            <w:r w:rsidRPr="00246F0A">
              <w:rPr>
                <w:rFonts w:ascii="Arial" w:hAnsi="Arial" w:cs="Arial"/>
                <w:b/>
                <w:sz w:val="22"/>
                <w:szCs w:val="22"/>
              </w:rPr>
              <w:t>Methodology</w:t>
            </w:r>
          </w:p>
          <w:p w14:paraId="015EFC6C" w14:textId="55979282" w:rsidR="0065012F" w:rsidRPr="00246F0A" w:rsidRDefault="001C009B" w:rsidP="00FF1D40">
            <w:pPr>
              <w:rPr>
                <w:rFonts w:ascii="Arial" w:hAnsi="Arial" w:cs="Arial"/>
                <w:sz w:val="22"/>
                <w:szCs w:val="22"/>
              </w:rPr>
            </w:pPr>
            <w:r w:rsidRPr="00246F0A">
              <w:rPr>
                <w:rFonts w:ascii="Arial" w:hAnsi="Arial" w:cs="Arial"/>
                <w:sz w:val="22"/>
                <w:szCs w:val="22"/>
              </w:rPr>
              <w:t xml:space="preserve">The study uses a combination of qualitative and quantitative data and analysis. </w:t>
            </w:r>
            <w:r w:rsidR="007917FF" w:rsidRPr="00246F0A">
              <w:rPr>
                <w:rFonts w:ascii="Arial" w:hAnsi="Arial" w:cs="Arial"/>
                <w:sz w:val="22"/>
                <w:szCs w:val="22"/>
              </w:rPr>
              <w:t>Qualitative data, via in-depth semi-structured interviews through purposeful sampling of key informants, was collected in the two study areas (</w:t>
            </w:r>
            <w:r w:rsidR="00C1598D">
              <w:rPr>
                <w:rFonts w:ascii="Arial" w:hAnsi="Arial" w:cs="Arial"/>
                <w:sz w:val="22"/>
                <w:szCs w:val="22"/>
              </w:rPr>
              <w:t xml:space="preserve">i.e., </w:t>
            </w:r>
            <w:r w:rsidR="007917FF" w:rsidRPr="00246F0A">
              <w:rPr>
                <w:rFonts w:ascii="Arial" w:hAnsi="Arial" w:cs="Arial"/>
                <w:sz w:val="22"/>
                <w:szCs w:val="22"/>
              </w:rPr>
              <w:t>Bennettsville, SC and Tarboro, NC) and analysed in NVivo,</w:t>
            </w:r>
            <w:r w:rsidR="00FF1D40" w:rsidRPr="00246F0A">
              <w:rPr>
                <w:rFonts w:ascii="Arial" w:hAnsi="Arial" w:cs="Arial"/>
                <w:sz w:val="22"/>
                <w:szCs w:val="22"/>
              </w:rPr>
              <w:t xml:space="preserve"> a </w:t>
            </w:r>
            <w:r w:rsidR="007917FF" w:rsidRPr="00246F0A">
              <w:rPr>
                <w:rFonts w:ascii="Arial" w:hAnsi="Arial" w:cs="Arial"/>
                <w:sz w:val="22"/>
                <w:szCs w:val="22"/>
              </w:rPr>
              <w:t xml:space="preserve">qualitative analysis software. </w:t>
            </w:r>
            <w:r w:rsidR="00466B9C" w:rsidRPr="00246F0A">
              <w:rPr>
                <w:rFonts w:ascii="Arial" w:hAnsi="Arial" w:cs="Arial"/>
                <w:sz w:val="22"/>
                <w:szCs w:val="22"/>
              </w:rPr>
              <w:t>Quantitative</w:t>
            </w:r>
            <w:r w:rsidR="00147D03">
              <w:rPr>
                <w:rFonts w:ascii="Arial" w:hAnsi="Arial" w:cs="Arial"/>
                <w:sz w:val="22"/>
                <w:szCs w:val="22"/>
              </w:rPr>
              <w:t xml:space="preserve"> </w:t>
            </w:r>
            <w:r w:rsidR="00466B9C" w:rsidRPr="00246F0A">
              <w:rPr>
                <w:rFonts w:ascii="Arial" w:hAnsi="Arial" w:cs="Arial"/>
                <w:sz w:val="22"/>
                <w:szCs w:val="22"/>
              </w:rPr>
              <w:t>GIS data of residential property transaction in the two communities is in the process of being obtained from CoreLogic and data analysis will be conducted in ESRI’s ArcGIS software</w:t>
            </w:r>
            <w:r w:rsidRPr="00246F0A">
              <w:rPr>
                <w:rFonts w:ascii="Arial" w:hAnsi="Arial" w:cs="Arial"/>
                <w:sz w:val="22"/>
                <w:szCs w:val="22"/>
              </w:rPr>
              <w:t>.</w:t>
            </w:r>
          </w:p>
          <w:p w14:paraId="5A42C2E7" w14:textId="77777777" w:rsidR="00466B9C" w:rsidRPr="00246F0A" w:rsidRDefault="00466B9C" w:rsidP="00FF1D40">
            <w:pPr>
              <w:rPr>
                <w:rFonts w:ascii="Arial" w:hAnsi="Arial" w:cs="Arial"/>
                <w:b/>
                <w:sz w:val="22"/>
                <w:szCs w:val="22"/>
              </w:rPr>
            </w:pPr>
          </w:p>
          <w:p w14:paraId="62DAA8AE" w14:textId="77777777" w:rsidR="0065012F" w:rsidRPr="00246F0A" w:rsidRDefault="0065012F" w:rsidP="00FF1D40">
            <w:pPr>
              <w:rPr>
                <w:rFonts w:ascii="Arial" w:hAnsi="Arial" w:cs="Arial"/>
                <w:b/>
                <w:sz w:val="22"/>
                <w:szCs w:val="22"/>
              </w:rPr>
            </w:pPr>
            <w:r w:rsidRPr="00246F0A">
              <w:rPr>
                <w:rFonts w:ascii="Arial" w:hAnsi="Arial" w:cs="Arial"/>
                <w:b/>
                <w:sz w:val="22"/>
                <w:szCs w:val="22"/>
              </w:rPr>
              <w:t>Findings</w:t>
            </w:r>
          </w:p>
          <w:p w14:paraId="26DC99F1" w14:textId="520F1A0C" w:rsidR="0065012F" w:rsidRPr="00246F0A" w:rsidRDefault="00466B9C" w:rsidP="00FF1D40">
            <w:pPr>
              <w:rPr>
                <w:rFonts w:ascii="Arial" w:hAnsi="Arial" w:cs="Arial"/>
                <w:bCs/>
                <w:sz w:val="22"/>
                <w:szCs w:val="22"/>
              </w:rPr>
            </w:pPr>
            <w:r w:rsidRPr="00246F0A">
              <w:rPr>
                <w:rFonts w:ascii="Arial" w:hAnsi="Arial" w:cs="Arial"/>
                <w:bCs/>
                <w:sz w:val="22"/>
                <w:szCs w:val="22"/>
              </w:rPr>
              <w:t>We expect our findings to indicate that home prices</w:t>
            </w:r>
            <w:r w:rsidR="00766FEB" w:rsidRPr="00246F0A">
              <w:rPr>
                <w:rFonts w:ascii="Arial" w:hAnsi="Arial" w:cs="Arial"/>
                <w:bCs/>
                <w:sz w:val="22"/>
                <w:szCs w:val="22"/>
              </w:rPr>
              <w:t xml:space="preserve"> for properties outside the floodplain</w:t>
            </w:r>
            <w:r w:rsidRPr="00246F0A">
              <w:rPr>
                <w:rFonts w:ascii="Arial" w:hAnsi="Arial" w:cs="Arial"/>
                <w:bCs/>
                <w:sz w:val="22"/>
                <w:szCs w:val="22"/>
              </w:rPr>
              <w:t xml:space="preserve"> in the current housing market far outstrips the buyout amounts offered </w:t>
            </w:r>
            <w:r w:rsidR="00375C56" w:rsidRPr="00246F0A">
              <w:rPr>
                <w:rFonts w:ascii="Arial" w:hAnsi="Arial" w:cs="Arial"/>
                <w:bCs/>
                <w:sz w:val="22"/>
                <w:szCs w:val="22"/>
              </w:rPr>
              <w:t xml:space="preserve">by the government </w:t>
            </w:r>
            <w:r w:rsidRPr="00246F0A">
              <w:rPr>
                <w:rFonts w:ascii="Arial" w:hAnsi="Arial" w:cs="Arial"/>
                <w:bCs/>
                <w:sz w:val="22"/>
                <w:szCs w:val="22"/>
              </w:rPr>
              <w:t xml:space="preserve">to residential property owners participating in </w:t>
            </w:r>
            <w:r w:rsidR="00147D03">
              <w:rPr>
                <w:rFonts w:ascii="Arial" w:hAnsi="Arial" w:cs="Arial"/>
                <w:bCs/>
                <w:sz w:val="22"/>
                <w:szCs w:val="22"/>
              </w:rPr>
              <w:t>the buyout</w:t>
            </w:r>
            <w:r w:rsidRPr="00246F0A">
              <w:rPr>
                <w:rFonts w:ascii="Arial" w:hAnsi="Arial" w:cs="Arial"/>
                <w:bCs/>
                <w:sz w:val="22"/>
                <w:szCs w:val="22"/>
              </w:rPr>
              <w:t xml:space="preserve"> program. Combined with low housing supply (e.g., </w:t>
            </w:r>
            <w:r w:rsidRPr="00246F0A">
              <w:rPr>
                <w:rFonts w:ascii="Arial" w:hAnsi="Arial" w:cs="Arial"/>
                <w:sz w:val="22"/>
                <w:szCs w:val="22"/>
              </w:rPr>
              <w:t>housing units in Bennettsville are declining, with a percentage change of</w:t>
            </w:r>
            <w:r w:rsidR="00375C56" w:rsidRPr="00246F0A">
              <w:rPr>
                <w:rFonts w:ascii="Arial" w:hAnsi="Arial" w:cs="Arial"/>
                <w:sz w:val="22"/>
                <w:szCs w:val="22"/>
              </w:rPr>
              <w:t xml:space="preserve"> -</w:t>
            </w:r>
            <w:r w:rsidRPr="00246F0A">
              <w:rPr>
                <w:rFonts w:ascii="Arial" w:hAnsi="Arial" w:cs="Arial"/>
                <w:sz w:val="22"/>
                <w:szCs w:val="22"/>
              </w:rPr>
              <w:t>5.8 %</w:t>
            </w:r>
            <w:r w:rsidR="00375C56" w:rsidRPr="00246F0A">
              <w:rPr>
                <w:rFonts w:ascii="Arial" w:hAnsi="Arial" w:cs="Arial"/>
                <w:sz w:val="22"/>
                <w:szCs w:val="22"/>
              </w:rPr>
              <w:t xml:space="preserve"> </w:t>
            </w:r>
            <w:r w:rsidRPr="00246F0A">
              <w:rPr>
                <w:rFonts w:ascii="Arial" w:hAnsi="Arial" w:cs="Arial"/>
                <w:sz w:val="22"/>
                <w:szCs w:val="22"/>
              </w:rPr>
              <w:t>between 2010 and 2021) and lack of alternate affordable housing units</w:t>
            </w:r>
            <w:r w:rsidRPr="00246F0A">
              <w:rPr>
                <w:rFonts w:ascii="Arial" w:hAnsi="Arial" w:cs="Arial"/>
                <w:bCs/>
                <w:sz w:val="22"/>
                <w:szCs w:val="22"/>
              </w:rPr>
              <w:t xml:space="preserve">, buyout programs can lead to a population downturn in rural communities. </w:t>
            </w:r>
          </w:p>
          <w:p w14:paraId="70892F6B" w14:textId="77777777" w:rsidR="00466B9C" w:rsidRPr="00246F0A" w:rsidRDefault="00466B9C" w:rsidP="00FF1D40">
            <w:pPr>
              <w:rPr>
                <w:rFonts w:ascii="Arial" w:hAnsi="Arial" w:cs="Arial"/>
                <w:bCs/>
                <w:sz w:val="22"/>
                <w:szCs w:val="22"/>
              </w:rPr>
            </w:pPr>
          </w:p>
          <w:p w14:paraId="261EC656" w14:textId="2669F05C" w:rsidR="00C8423A" w:rsidRPr="00246F0A" w:rsidRDefault="0065012F" w:rsidP="00FF1D40">
            <w:pPr>
              <w:rPr>
                <w:rFonts w:ascii="Arial" w:hAnsi="Arial" w:cs="Arial"/>
                <w:b/>
                <w:sz w:val="22"/>
                <w:szCs w:val="22"/>
              </w:rPr>
            </w:pPr>
            <w:r w:rsidRPr="00246F0A">
              <w:rPr>
                <w:rFonts w:ascii="Arial" w:hAnsi="Arial" w:cs="Arial"/>
                <w:b/>
                <w:sz w:val="22"/>
                <w:szCs w:val="22"/>
              </w:rPr>
              <w:t xml:space="preserve">Significance of the work for policy and practice </w:t>
            </w:r>
          </w:p>
          <w:p w14:paraId="2D942FAB" w14:textId="5B21B8C8" w:rsidR="00375C56" w:rsidRPr="00246F0A" w:rsidRDefault="00375C56" w:rsidP="0099137B">
            <w:pPr>
              <w:autoSpaceDE w:val="0"/>
              <w:autoSpaceDN w:val="0"/>
              <w:adjustRightInd w:val="0"/>
              <w:rPr>
                <w:rFonts w:ascii="Arial" w:hAnsi="Arial" w:cs="Arial"/>
                <w:color w:val="000000"/>
                <w:sz w:val="22"/>
                <w:szCs w:val="22"/>
                <w:lang w:val="en-US"/>
              </w:rPr>
            </w:pPr>
            <w:r w:rsidRPr="00246F0A">
              <w:rPr>
                <w:rFonts w:ascii="Arial" w:hAnsi="Arial" w:cs="Arial"/>
                <w:color w:val="000000"/>
                <w:sz w:val="22"/>
                <w:szCs w:val="22"/>
                <w:lang w:val="en-US"/>
              </w:rPr>
              <w:t xml:space="preserve">We expect to demonstrate that buyout programs must be envisioned as a broader housing policy </w:t>
            </w:r>
            <w:r w:rsidR="00766FEB" w:rsidRPr="00246F0A">
              <w:rPr>
                <w:rFonts w:ascii="Arial" w:hAnsi="Arial" w:cs="Arial"/>
                <w:color w:val="000000"/>
                <w:sz w:val="22"/>
                <w:szCs w:val="22"/>
                <w:lang w:val="en-US"/>
              </w:rPr>
              <w:t xml:space="preserve">issue and </w:t>
            </w:r>
            <w:r w:rsidR="009D2BBC" w:rsidRPr="00246F0A">
              <w:rPr>
                <w:rFonts w:ascii="Arial" w:hAnsi="Arial" w:cs="Arial"/>
                <w:color w:val="000000"/>
                <w:sz w:val="22"/>
                <w:szCs w:val="22"/>
                <w:lang w:val="en-US"/>
              </w:rPr>
              <w:t xml:space="preserve">in turn </w:t>
            </w:r>
            <w:r w:rsidR="00766FEB" w:rsidRPr="00246F0A">
              <w:rPr>
                <w:rFonts w:ascii="Arial" w:hAnsi="Arial" w:cs="Arial"/>
                <w:color w:val="000000"/>
                <w:sz w:val="22"/>
                <w:szCs w:val="22"/>
                <w:lang w:val="en-US"/>
              </w:rPr>
              <w:t>extend</w:t>
            </w:r>
            <w:r w:rsidR="007917FF" w:rsidRPr="00246F0A">
              <w:rPr>
                <w:rFonts w:ascii="Arial" w:hAnsi="Arial" w:cs="Arial"/>
                <w:color w:val="000000"/>
                <w:sz w:val="22"/>
                <w:szCs w:val="22"/>
                <w:lang w:val="en-US"/>
              </w:rPr>
              <w:t xml:space="preserve"> the parameters of what is</w:t>
            </w:r>
            <w:r w:rsidRPr="00246F0A">
              <w:rPr>
                <w:rFonts w:ascii="Arial" w:hAnsi="Arial" w:cs="Arial"/>
                <w:color w:val="000000"/>
                <w:sz w:val="22"/>
                <w:szCs w:val="22"/>
                <w:lang w:val="en-US"/>
              </w:rPr>
              <w:t xml:space="preserve"> </w:t>
            </w:r>
            <w:r w:rsidR="007917FF" w:rsidRPr="00246F0A">
              <w:rPr>
                <w:rFonts w:ascii="Arial" w:hAnsi="Arial" w:cs="Arial"/>
                <w:color w:val="000000"/>
                <w:sz w:val="22"/>
                <w:szCs w:val="22"/>
                <w:lang w:val="en-US"/>
              </w:rPr>
              <w:t>considered flood hazard</w:t>
            </w:r>
            <w:r w:rsidRPr="00246F0A">
              <w:rPr>
                <w:rFonts w:ascii="Arial" w:hAnsi="Arial" w:cs="Arial"/>
                <w:color w:val="000000"/>
                <w:sz w:val="22"/>
                <w:szCs w:val="22"/>
                <w:lang w:val="en-US"/>
              </w:rPr>
              <w:t xml:space="preserve"> </w:t>
            </w:r>
            <w:r w:rsidR="007917FF" w:rsidRPr="00246F0A">
              <w:rPr>
                <w:rFonts w:ascii="Arial" w:hAnsi="Arial" w:cs="Arial"/>
                <w:color w:val="000000"/>
                <w:sz w:val="22"/>
                <w:szCs w:val="22"/>
                <w:lang w:val="en-US"/>
              </w:rPr>
              <w:t>mitigation</w:t>
            </w:r>
            <w:r w:rsidR="00147D03">
              <w:rPr>
                <w:rFonts w:ascii="Arial" w:hAnsi="Arial" w:cs="Arial"/>
                <w:color w:val="000000"/>
                <w:sz w:val="22"/>
                <w:szCs w:val="22"/>
                <w:lang w:val="en-US"/>
              </w:rPr>
              <w:t xml:space="preserve"> and adaptation</w:t>
            </w:r>
            <w:r w:rsidR="007917FF" w:rsidRPr="00246F0A">
              <w:rPr>
                <w:rFonts w:ascii="Arial" w:hAnsi="Arial" w:cs="Arial"/>
                <w:color w:val="000000"/>
                <w:sz w:val="22"/>
                <w:szCs w:val="22"/>
                <w:lang w:val="en-US"/>
              </w:rPr>
              <w:t>.</w:t>
            </w:r>
            <w:r w:rsidRPr="00246F0A">
              <w:rPr>
                <w:rFonts w:ascii="Arial" w:hAnsi="Arial" w:cs="Arial"/>
                <w:color w:val="000000"/>
                <w:sz w:val="22"/>
                <w:szCs w:val="22"/>
                <w:lang w:val="en-US"/>
              </w:rPr>
              <w:t xml:space="preserve"> </w:t>
            </w:r>
            <w:r w:rsidR="0099137B" w:rsidRPr="00246F0A">
              <w:rPr>
                <w:rFonts w:ascii="Arial" w:hAnsi="Arial" w:cs="Arial"/>
                <w:color w:val="000000"/>
                <w:sz w:val="22"/>
                <w:szCs w:val="22"/>
                <w:lang w:val="en-US"/>
              </w:rPr>
              <w:t>This is in line with Marino’s (</w:t>
            </w:r>
            <w:r w:rsidR="0099137B" w:rsidRPr="00246F0A">
              <w:rPr>
                <w:rFonts w:ascii="Arial" w:hAnsi="Arial" w:cs="Arial"/>
                <w:color w:val="000085"/>
                <w:sz w:val="22"/>
                <w:szCs w:val="22"/>
                <w:lang w:val="en-US"/>
              </w:rPr>
              <w:t>2018</w:t>
            </w:r>
            <w:r w:rsidR="0099137B" w:rsidRPr="00246F0A">
              <w:rPr>
                <w:rFonts w:ascii="Arial" w:hAnsi="Arial" w:cs="Arial"/>
                <w:color w:val="000000"/>
                <w:sz w:val="22"/>
                <w:szCs w:val="22"/>
                <w:lang w:val="en-US"/>
              </w:rPr>
              <w:t xml:space="preserve">) arguments that </w:t>
            </w:r>
            <w:r w:rsidR="0099137B" w:rsidRPr="00246F0A">
              <w:rPr>
                <w:rFonts w:ascii="Arial" w:hAnsi="Arial" w:cs="Arial"/>
                <w:color w:val="000000"/>
                <w:sz w:val="22"/>
                <w:szCs w:val="22"/>
                <w:lang w:val="en-US"/>
              </w:rPr>
              <w:lastRenderedPageBreak/>
              <w:t xml:space="preserve">the assumptions underlying buyout policies disadvantages certain communities, in this case small rural communities, while limiting the inventory of possibilities that they must choose from and reinforcing pre-existing inequities. </w:t>
            </w:r>
            <w:r w:rsidRPr="00246F0A">
              <w:rPr>
                <w:rFonts w:ascii="Arial" w:hAnsi="Arial" w:cs="Arial"/>
                <w:color w:val="000000"/>
                <w:sz w:val="22"/>
                <w:szCs w:val="22"/>
                <w:lang w:val="en-US"/>
              </w:rPr>
              <w:t xml:space="preserve">The lack of alternate affordable housing for low-income </w:t>
            </w:r>
            <w:r w:rsidR="00147D03">
              <w:rPr>
                <w:rFonts w:ascii="Arial" w:hAnsi="Arial" w:cs="Arial"/>
                <w:color w:val="000000"/>
                <w:sz w:val="22"/>
                <w:szCs w:val="22"/>
                <w:lang w:val="en-US"/>
              </w:rPr>
              <w:t xml:space="preserve">rural </w:t>
            </w:r>
            <w:r w:rsidRPr="00246F0A">
              <w:rPr>
                <w:rFonts w:ascii="Arial" w:hAnsi="Arial" w:cs="Arial"/>
                <w:color w:val="000000"/>
                <w:sz w:val="22"/>
                <w:szCs w:val="22"/>
                <w:lang w:val="en-US"/>
              </w:rPr>
              <w:t>households participating in a buyout and who want to stay in the area, albeit outside the floodplain, illustrates the complex and multifaceted mitigation needs of rural coastal communities</w:t>
            </w:r>
            <w:r w:rsidR="00766FEB" w:rsidRPr="00246F0A">
              <w:rPr>
                <w:rFonts w:ascii="Arial" w:hAnsi="Arial" w:cs="Arial"/>
                <w:color w:val="000000"/>
                <w:sz w:val="22"/>
                <w:szCs w:val="22"/>
                <w:lang w:val="en-US"/>
              </w:rPr>
              <w:t xml:space="preserve">, </w:t>
            </w:r>
            <w:r w:rsidR="009D2BBC" w:rsidRPr="00246F0A">
              <w:rPr>
                <w:rFonts w:ascii="Arial" w:hAnsi="Arial" w:cs="Arial"/>
                <w:color w:val="000000"/>
                <w:sz w:val="22"/>
                <w:szCs w:val="22"/>
                <w:lang w:val="en-US"/>
              </w:rPr>
              <w:t>which has</w:t>
            </w:r>
            <w:r w:rsidR="00766FEB" w:rsidRPr="00246F0A">
              <w:rPr>
                <w:rFonts w:ascii="Arial" w:hAnsi="Arial" w:cs="Arial"/>
                <w:color w:val="000000"/>
                <w:sz w:val="22"/>
                <w:szCs w:val="22"/>
                <w:lang w:val="en-US"/>
              </w:rPr>
              <w:t xml:space="preserve"> implications for housing policy</w:t>
            </w:r>
            <w:r w:rsidRPr="00246F0A">
              <w:rPr>
                <w:rFonts w:ascii="Arial" w:hAnsi="Arial" w:cs="Arial"/>
                <w:color w:val="000000"/>
                <w:sz w:val="22"/>
                <w:szCs w:val="22"/>
                <w:lang w:val="en-US"/>
              </w:rPr>
              <w:t>.</w:t>
            </w:r>
          </w:p>
          <w:p w14:paraId="43CB2428" w14:textId="2D3F0298" w:rsidR="00BE58D6" w:rsidRPr="00246F0A" w:rsidRDefault="00BE58D6" w:rsidP="0099137B">
            <w:pPr>
              <w:autoSpaceDE w:val="0"/>
              <w:autoSpaceDN w:val="0"/>
              <w:adjustRightInd w:val="0"/>
              <w:rPr>
                <w:rFonts w:ascii="Arial" w:hAnsi="Arial" w:cs="Arial"/>
                <w:color w:val="000000"/>
                <w:sz w:val="22"/>
                <w:szCs w:val="22"/>
                <w:lang w:val="en-US"/>
              </w:rPr>
            </w:pPr>
          </w:p>
          <w:p w14:paraId="4D7B65A8" w14:textId="7A0FD805" w:rsidR="00BE58D6" w:rsidRPr="00246F0A" w:rsidRDefault="007B44FE" w:rsidP="00706DED">
            <w:pPr>
              <w:jc w:val="both"/>
              <w:rPr>
                <w:rFonts w:ascii="Arial" w:hAnsi="Arial" w:cs="Arial"/>
                <w:b/>
                <w:sz w:val="22"/>
                <w:szCs w:val="22"/>
              </w:rPr>
            </w:pPr>
            <w:r w:rsidRPr="00246F0A">
              <w:rPr>
                <w:rFonts w:ascii="Arial" w:hAnsi="Arial" w:cs="Arial"/>
                <w:b/>
                <w:sz w:val="22"/>
                <w:szCs w:val="22"/>
              </w:rPr>
              <w:t>Refer</w:t>
            </w:r>
            <w:r w:rsidR="007917FF" w:rsidRPr="00246F0A">
              <w:rPr>
                <w:rFonts w:ascii="Arial" w:hAnsi="Arial" w:cs="Arial"/>
                <w:b/>
                <w:sz w:val="22"/>
                <w:szCs w:val="22"/>
              </w:rPr>
              <w:t>e</w:t>
            </w:r>
            <w:r w:rsidRPr="00246F0A">
              <w:rPr>
                <w:rFonts w:ascii="Arial" w:hAnsi="Arial" w:cs="Arial"/>
                <w:b/>
                <w:sz w:val="22"/>
                <w:szCs w:val="22"/>
              </w:rPr>
              <w:t>nces</w:t>
            </w:r>
          </w:p>
          <w:p w14:paraId="153A1354" w14:textId="1196F4BE" w:rsidR="001C009B" w:rsidRPr="00246F0A" w:rsidRDefault="001C009B" w:rsidP="001C009B">
            <w:pPr>
              <w:pStyle w:val="ListParagraph"/>
              <w:numPr>
                <w:ilvl w:val="0"/>
                <w:numId w:val="4"/>
              </w:numPr>
              <w:ind w:left="323"/>
              <w:rPr>
                <w:rFonts w:ascii="Arial" w:hAnsi="Arial" w:cs="Arial"/>
                <w:sz w:val="22"/>
                <w:szCs w:val="22"/>
              </w:rPr>
            </w:pPr>
            <w:proofErr w:type="spellStart"/>
            <w:r w:rsidRPr="00246F0A">
              <w:rPr>
                <w:rFonts w:ascii="Arial" w:hAnsi="Arial" w:cs="Arial"/>
                <w:color w:val="000000"/>
                <w:sz w:val="22"/>
                <w:szCs w:val="22"/>
                <w:lang w:val="en-US"/>
              </w:rPr>
              <w:t>Flavelle</w:t>
            </w:r>
            <w:proofErr w:type="spellEnd"/>
            <w:r w:rsidRPr="00246F0A">
              <w:rPr>
                <w:rFonts w:ascii="Arial" w:hAnsi="Arial" w:cs="Arial"/>
                <w:color w:val="000000"/>
                <w:sz w:val="22"/>
                <w:szCs w:val="22"/>
                <w:lang w:val="en-US"/>
              </w:rPr>
              <w:t>, C. 2021. Climate Change is Bankrupting America’s Small Towns.</w:t>
            </w:r>
            <w:r w:rsidR="009E5D0E" w:rsidRPr="00246F0A">
              <w:rPr>
                <w:rFonts w:ascii="Arial" w:hAnsi="Arial" w:cs="Arial"/>
                <w:color w:val="000000"/>
                <w:sz w:val="22"/>
                <w:szCs w:val="22"/>
                <w:lang w:val="en-US"/>
              </w:rPr>
              <w:t xml:space="preserve"> </w:t>
            </w:r>
            <w:r w:rsidRPr="00246F0A">
              <w:rPr>
                <w:rFonts w:ascii="Arial" w:hAnsi="Arial" w:cs="Arial"/>
                <w:i/>
                <w:iCs/>
                <w:color w:val="000000"/>
                <w:sz w:val="22"/>
                <w:szCs w:val="22"/>
                <w:lang w:val="en-US"/>
              </w:rPr>
              <w:t>The New York Times</w:t>
            </w:r>
            <w:r w:rsidRPr="00246F0A">
              <w:rPr>
                <w:rFonts w:ascii="Arial" w:hAnsi="Arial" w:cs="Arial"/>
                <w:color w:val="000000"/>
                <w:sz w:val="22"/>
                <w:szCs w:val="22"/>
                <w:lang w:val="en-US"/>
              </w:rPr>
              <w:t xml:space="preserve">, September 2. </w:t>
            </w:r>
            <w:hyperlink r:id="rId8" w:history="1">
              <w:r w:rsidRPr="00246F0A">
                <w:rPr>
                  <w:rStyle w:val="Hyperlink"/>
                  <w:rFonts w:ascii="Arial" w:hAnsi="Arial" w:cs="Arial"/>
                  <w:sz w:val="22"/>
                  <w:szCs w:val="22"/>
                  <w:lang w:val="en-US"/>
                </w:rPr>
                <w:t>https://www.nytimes.com/2021/09/02/climate/climate-towns-bankruptcy.html</w:t>
              </w:r>
            </w:hyperlink>
            <w:r w:rsidRPr="00246F0A">
              <w:rPr>
                <w:rFonts w:ascii="Arial" w:hAnsi="Arial" w:cs="Arial"/>
                <w:color w:val="000000"/>
                <w:sz w:val="22"/>
                <w:szCs w:val="22"/>
                <w:lang w:val="en-US"/>
              </w:rPr>
              <w:t>.</w:t>
            </w:r>
          </w:p>
          <w:p w14:paraId="16F4C56C" w14:textId="6F6171C3" w:rsidR="002F739B" w:rsidRPr="00246F0A" w:rsidRDefault="002F739B" w:rsidP="001C009B">
            <w:pPr>
              <w:pStyle w:val="ListParagraph"/>
              <w:numPr>
                <w:ilvl w:val="0"/>
                <w:numId w:val="4"/>
              </w:numPr>
              <w:ind w:left="323"/>
              <w:rPr>
                <w:rFonts w:ascii="Arial" w:hAnsi="Arial" w:cs="Arial"/>
                <w:sz w:val="22"/>
                <w:szCs w:val="22"/>
              </w:rPr>
            </w:pPr>
            <w:r w:rsidRPr="00246F0A">
              <w:rPr>
                <w:rFonts w:ascii="Arial" w:hAnsi="Arial" w:cs="Arial"/>
                <w:sz w:val="22"/>
                <w:szCs w:val="22"/>
              </w:rPr>
              <w:t>Hauer, M.E., Evans, J.</w:t>
            </w:r>
            <w:r w:rsidR="009E5D0E" w:rsidRPr="00246F0A">
              <w:rPr>
                <w:rFonts w:ascii="Arial" w:hAnsi="Arial" w:cs="Arial"/>
                <w:sz w:val="22"/>
                <w:szCs w:val="22"/>
              </w:rPr>
              <w:t>M</w:t>
            </w:r>
            <w:r w:rsidRPr="00246F0A">
              <w:rPr>
                <w:rFonts w:ascii="Arial" w:hAnsi="Arial" w:cs="Arial"/>
                <w:sz w:val="22"/>
                <w:szCs w:val="22"/>
              </w:rPr>
              <w:t>. &amp; Mishra, D</w:t>
            </w:r>
            <w:r w:rsidR="009E5D0E" w:rsidRPr="00246F0A">
              <w:rPr>
                <w:rFonts w:ascii="Arial" w:hAnsi="Arial" w:cs="Arial"/>
                <w:sz w:val="22"/>
                <w:szCs w:val="22"/>
              </w:rPr>
              <w:t>.R</w:t>
            </w:r>
            <w:r w:rsidRPr="00246F0A">
              <w:rPr>
                <w:rFonts w:ascii="Arial" w:hAnsi="Arial" w:cs="Arial"/>
                <w:sz w:val="22"/>
                <w:szCs w:val="22"/>
              </w:rPr>
              <w:t xml:space="preserve">. 2016. Millions projected to be at risk from sea-level rise in the continental United States, </w:t>
            </w:r>
            <w:r w:rsidR="009E5D0E" w:rsidRPr="00246F0A">
              <w:rPr>
                <w:rFonts w:ascii="Arial" w:hAnsi="Arial" w:cs="Arial"/>
                <w:i/>
                <w:iCs/>
                <w:sz w:val="22"/>
                <w:szCs w:val="22"/>
              </w:rPr>
              <w:t>Nature Climate Change</w:t>
            </w:r>
            <w:r w:rsidRPr="00246F0A">
              <w:rPr>
                <w:rFonts w:ascii="Arial" w:hAnsi="Arial" w:cs="Arial"/>
                <w:sz w:val="22"/>
                <w:szCs w:val="22"/>
              </w:rPr>
              <w:t xml:space="preserve">, 6 (7): 691–695. </w:t>
            </w:r>
            <w:r w:rsidRPr="00246F0A">
              <w:rPr>
                <w:rFonts w:ascii="Arial" w:hAnsi="Arial" w:cs="Arial"/>
                <w:color w:val="2196D1"/>
                <w:sz w:val="22"/>
                <w:szCs w:val="22"/>
              </w:rPr>
              <w:t>https://doi.org/10.1038/nclimate2961</w:t>
            </w:r>
            <w:r w:rsidRPr="00246F0A">
              <w:rPr>
                <w:rFonts w:ascii="Arial" w:hAnsi="Arial" w:cs="Arial"/>
                <w:sz w:val="22"/>
                <w:szCs w:val="22"/>
              </w:rPr>
              <w:t>.</w:t>
            </w:r>
          </w:p>
          <w:p w14:paraId="06787AF8" w14:textId="07E81C9F" w:rsidR="00915323" w:rsidRPr="00246F0A" w:rsidRDefault="007B44FE" w:rsidP="001C009B">
            <w:pPr>
              <w:pStyle w:val="ListParagraph"/>
              <w:numPr>
                <w:ilvl w:val="0"/>
                <w:numId w:val="4"/>
              </w:numPr>
              <w:ind w:left="323"/>
              <w:rPr>
                <w:rFonts w:ascii="Arial" w:hAnsi="Arial" w:cs="Arial"/>
                <w:sz w:val="22"/>
                <w:szCs w:val="22"/>
              </w:rPr>
            </w:pPr>
            <w:r w:rsidRPr="00246F0A">
              <w:rPr>
                <w:rFonts w:ascii="Arial" w:hAnsi="Arial" w:cs="Arial"/>
                <w:sz w:val="22"/>
                <w:szCs w:val="22"/>
              </w:rPr>
              <w:t>Hoffman,</w:t>
            </w:r>
            <w:r w:rsidR="001C009B" w:rsidRPr="00246F0A">
              <w:rPr>
                <w:rFonts w:ascii="Arial" w:hAnsi="Arial" w:cs="Arial"/>
                <w:sz w:val="22"/>
                <w:szCs w:val="22"/>
              </w:rPr>
              <w:t xml:space="preserve"> J.S.,</w:t>
            </w:r>
            <w:r w:rsidRPr="00246F0A">
              <w:rPr>
                <w:rFonts w:ascii="Arial" w:hAnsi="Arial" w:cs="Arial"/>
                <w:sz w:val="22"/>
                <w:szCs w:val="22"/>
              </w:rPr>
              <w:t xml:space="preserve"> McNulty,</w:t>
            </w:r>
            <w:r w:rsidR="001C009B" w:rsidRPr="00246F0A">
              <w:rPr>
                <w:rFonts w:ascii="Arial" w:hAnsi="Arial" w:cs="Arial"/>
                <w:sz w:val="22"/>
                <w:szCs w:val="22"/>
              </w:rPr>
              <w:t xml:space="preserve"> S.G.,</w:t>
            </w:r>
            <w:r w:rsidRPr="00246F0A">
              <w:rPr>
                <w:rFonts w:ascii="Arial" w:hAnsi="Arial" w:cs="Arial"/>
                <w:sz w:val="22"/>
                <w:szCs w:val="22"/>
              </w:rPr>
              <w:t xml:space="preserve"> Brown,</w:t>
            </w:r>
            <w:r w:rsidR="001C009B" w:rsidRPr="00246F0A">
              <w:rPr>
                <w:rFonts w:ascii="Arial" w:hAnsi="Arial" w:cs="Arial"/>
                <w:sz w:val="22"/>
                <w:szCs w:val="22"/>
              </w:rPr>
              <w:t xml:space="preserve"> C.,</w:t>
            </w:r>
            <w:r w:rsidRPr="00246F0A">
              <w:rPr>
                <w:rFonts w:ascii="Arial" w:hAnsi="Arial" w:cs="Arial"/>
                <w:sz w:val="22"/>
                <w:szCs w:val="22"/>
              </w:rPr>
              <w:t xml:space="preserve"> Dello,</w:t>
            </w:r>
            <w:r w:rsidR="001C009B" w:rsidRPr="00246F0A">
              <w:rPr>
                <w:rFonts w:ascii="Arial" w:hAnsi="Arial" w:cs="Arial"/>
                <w:sz w:val="22"/>
                <w:szCs w:val="22"/>
              </w:rPr>
              <w:t xml:space="preserve"> K.D.,</w:t>
            </w:r>
            <w:r w:rsidRPr="00246F0A">
              <w:rPr>
                <w:rFonts w:ascii="Arial" w:hAnsi="Arial" w:cs="Arial"/>
                <w:sz w:val="22"/>
                <w:szCs w:val="22"/>
              </w:rPr>
              <w:t xml:space="preserve"> Knox,</w:t>
            </w:r>
            <w:r w:rsidR="001C009B" w:rsidRPr="00246F0A">
              <w:rPr>
                <w:rFonts w:ascii="Arial" w:hAnsi="Arial" w:cs="Arial"/>
                <w:sz w:val="22"/>
                <w:szCs w:val="22"/>
              </w:rPr>
              <w:t xml:space="preserve"> P.N.,</w:t>
            </w:r>
            <w:r w:rsidRPr="00246F0A">
              <w:rPr>
                <w:rFonts w:ascii="Arial" w:hAnsi="Arial" w:cs="Arial"/>
                <w:sz w:val="22"/>
                <w:szCs w:val="22"/>
              </w:rPr>
              <w:t xml:space="preserve"> Lascurain,</w:t>
            </w:r>
            <w:r w:rsidR="001C009B" w:rsidRPr="00246F0A">
              <w:rPr>
                <w:rFonts w:ascii="Arial" w:hAnsi="Arial" w:cs="Arial"/>
                <w:sz w:val="22"/>
                <w:szCs w:val="22"/>
              </w:rPr>
              <w:t xml:space="preserve"> A., </w:t>
            </w:r>
            <w:proofErr w:type="spellStart"/>
            <w:r w:rsidRPr="00246F0A">
              <w:rPr>
                <w:rFonts w:ascii="Arial" w:hAnsi="Arial" w:cs="Arial"/>
                <w:sz w:val="22"/>
                <w:szCs w:val="22"/>
              </w:rPr>
              <w:t>Mickalonis</w:t>
            </w:r>
            <w:proofErr w:type="spellEnd"/>
            <w:r w:rsidRPr="00246F0A">
              <w:rPr>
                <w:rFonts w:ascii="Arial" w:hAnsi="Arial" w:cs="Arial"/>
                <w:sz w:val="22"/>
                <w:szCs w:val="22"/>
              </w:rPr>
              <w:t>,</w:t>
            </w:r>
            <w:r w:rsidR="001C009B" w:rsidRPr="00246F0A">
              <w:rPr>
                <w:rFonts w:ascii="Arial" w:hAnsi="Arial" w:cs="Arial"/>
                <w:sz w:val="22"/>
                <w:szCs w:val="22"/>
              </w:rPr>
              <w:t xml:space="preserve"> C., </w:t>
            </w:r>
            <w:r w:rsidRPr="00246F0A">
              <w:rPr>
                <w:rFonts w:ascii="Arial" w:hAnsi="Arial" w:cs="Arial"/>
                <w:sz w:val="22"/>
                <w:szCs w:val="22"/>
              </w:rPr>
              <w:t>Mitchum,</w:t>
            </w:r>
            <w:r w:rsidR="001C009B" w:rsidRPr="00246F0A">
              <w:rPr>
                <w:rFonts w:ascii="Arial" w:hAnsi="Arial" w:cs="Arial"/>
                <w:sz w:val="22"/>
                <w:szCs w:val="22"/>
              </w:rPr>
              <w:t xml:space="preserve"> G.T., </w:t>
            </w:r>
            <w:r w:rsidRPr="00246F0A">
              <w:rPr>
                <w:rFonts w:ascii="Arial" w:hAnsi="Arial" w:cs="Arial"/>
                <w:sz w:val="22"/>
                <w:szCs w:val="22"/>
              </w:rPr>
              <w:t>Rivers III,</w:t>
            </w:r>
            <w:r w:rsidR="001C009B" w:rsidRPr="00246F0A">
              <w:rPr>
                <w:rFonts w:ascii="Arial" w:hAnsi="Arial" w:cs="Arial"/>
                <w:sz w:val="22"/>
                <w:szCs w:val="22"/>
              </w:rPr>
              <w:t xml:space="preserve"> L.</w:t>
            </w:r>
            <w:r w:rsidR="002F739B" w:rsidRPr="00246F0A">
              <w:rPr>
                <w:rFonts w:ascii="Arial" w:hAnsi="Arial" w:cs="Arial"/>
                <w:sz w:val="22"/>
                <w:szCs w:val="22"/>
              </w:rPr>
              <w:t xml:space="preserve">, </w:t>
            </w:r>
            <w:r w:rsidRPr="00246F0A">
              <w:rPr>
                <w:rFonts w:ascii="Arial" w:hAnsi="Arial" w:cs="Arial"/>
                <w:sz w:val="22"/>
                <w:szCs w:val="22"/>
              </w:rPr>
              <w:t>Schaefer,</w:t>
            </w:r>
            <w:r w:rsidR="002F739B" w:rsidRPr="00246F0A">
              <w:rPr>
                <w:rFonts w:ascii="Arial" w:hAnsi="Arial" w:cs="Arial"/>
                <w:sz w:val="22"/>
                <w:szCs w:val="22"/>
              </w:rPr>
              <w:t xml:space="preserve"> M.,</w:t>
            </w:r>
            <w:r w:rsidRPr="00246F0A">
              <w:rPr>
                <w:rFonts w:ascii="Arial" w:hAnsi="Arial" w:cs="Arial"/>
                <w:sz w:val="22"/>
                <w:szCs w:val="22"/>
              </w:rPr>
              <w:t xml:space="preserve"> Smith,</w:t>
            </w:r>
            <w:r w:rsidR="002F739B" w:rsidRPr="00246F0A">
              <w:rPr>
                <w:rFonts w:ascii="Arial" w:hAnsi="Arial" w:cs="Arial"/>
                <w:sz w:val="22"/>
                <w:szCs w:val="22"/>
              </w:rPr>
              <w:t xml:space="preserve"> G.P.,</w:t>
            </w:r>
            <w:r w:rsidRPr="00246F0A">
              <w:rPr>
                <w:rFonts w:ascii="Arial" w:hAnsi="Arial" w:cs="Arial"/>
                <w:sz w:val="22"/>
                <w:szCs w:val="22"/>
              </w:rPr>
              <w:t xml:space="preserve"> Camp,</w:t>
            </w:r>
            <w:r w:rsidR="002F739B" w:rsidRPr="00246F0A">
              <w:rPr>
                <w:rFonts w:ascii="Arial" w:hAnsi="Arial" w:cs="Arial"/>
                <w:sz w:val="22"/>
                <w:szCs w:val="22"/>
              </w:rPr>
              <w:t xml:space="preserve"> J.S. &amp;</w:t>
            </w:r>
            <w:r w:rsidRPr="00246F0A">
              <w:rPr>
                <w:rFonts w:ascii="Arial" w:hAnsi="Arial" w:cs="Arial"/>
                <w:sz w:val="22"/>
                <w:szCs w:val="22"/>
              </w:rPr>
              <w:t xml:space="preserve"> Wood,</w:t>
            </w:r>
            <w:r w:rsidR="002F739B" w:rsidRPr="00246F0A">
              <w:rPr>
                <w:rFonts w:ascii="Arial" w:hAnsi="Arial" w:cs="Arial"/>
                <w:sz w:val="22"/>
                <w:szCs w:val="22"/>
              </w:rPr>
              <w:t xml:space="preserve"> K. M.</w:t>
            </w:r>
            <w:r w:rsidRPr="00246F0A">
              <w:rPr>
                <w:rFonts w:ascii="Arial" w:hAnsi="Arial" w:cs="Arial"/>
                <w:sz w:val="22"/>
                <w:szCs w:val="22"/>
              </w:rPr>
              <w:t xml:space="preserve"> Ch. 22. Southeast, in: A.R. Crimmins, C.W. Avery, D.R. Easterling, K.E. Kunkel, B.C. Stewart, T.K. Maycock (Eds.), Fifth National Climate Assessment, U.S. Global Change Research Program, Washington, DC, USA, 2023</w:t>
            </w:r>
            <w:r w:rsidR="007917FF" w:rsidRPr="00246F0A">
              <w:rPr>
                <w:rFonts w:ascii="Arial" w:hAnsi="Arial" w:cs="Arial"/>
                <w:sz w:val="22"/>
                <w:szCs w:val="22"/>
              </w:rPr>
              <w:t>.</w:t>
            </w:r>
            <w:r w:rsidRPr="00246F0A">
              <w:rPr>
                <w:rFonts w:ascii="Arial" w:hAnsi="Arial" w:cs="Arial"/>
                <w:sz w:val="22"/>
                <w:szCs w:val="22"/>
              </w:rPr>
              <w:t xml:space="preserve"> </w:t>
            </w:r>
            <w:hyperlink r:id="rId9" w:history="1">
              <w:r w:rsidR="00915323" w:rsidRPr="00246F0A">
                <w:rPr>
                  <w:rStyle w:val="Hyperlink"/>
                  <w:rFonts w:ascii="Arial" w:hAnsi="Arial" w:cs="Arial"/>
                  <w:sz w:val="22"/>
                  <w:szCs w:val="22"/>
                </w:rPr>
                <w:t>https://doi.org/10.7930/NCA5.2023.CH22</w:t>
              </w:r>
            </w:hyperlink>
            <w:r w:rsidRPr="00246F0A">
              <w:rPr>
                <w:rFonts w:ascii="Arial" w:hAnsi="Arial" w:cs="Arial"/>
                <w:sz w:val="22"/>
                <w:szCs w:val="22"/>
              </w:rPr>
              <w:t>.</w:t>
            </w:r>
          </w:p>
          <w:p w14:paraId="0358C020" w14:textId="1F9BED08" w:rsidR="00246F0A" w:rsidRPr="00246F0A" w:rsidRDefault="009E5D0E" w:rsidP="00246F0A">
            <w:pPr>
              <w:pStyle w:val="ListParagraph"/>
              <w:numPr>
                <w:ilvl w:val="0"/>
                <w:numId w:val="4"/>
              </w:numPr>
              <w:ind w:left="323"/>
              <w:rPr>
                <w:rFonts w:ascii="Arial" w:hAnsi="Arial" w:cs="Arial"/>
                <w:sz w:val="22"/>
                <w:szCs w:val="22"/>
              </w:rPr>
            </w:pPr>
            <w:r w:rsidRPr="00246F0A">
              <w:rPr>
                <w:rFonts w:ascii="Arial" w:hAnsi="Arial" w:cs="Arial"/>
                <w:sz w:val="22"/>
                <w:szCs w:val="22"/>
              </w:rPr>
              <w:t xml:space="preserve">Mach, K.J., Kraan, C.M., Hino, M., Siders, A.R., Johnston, E.M. &amp; Field, C.B. 2019. Managed retreat through voluntary buyouts of flood-prone properties, </w:t>
            </w:r>
            <w:r w:rsidRPr="00246F0A">
              <w:rPr>
                <w:rFonts w:ascii="Arial" w:hAnsi="Arial" w:cs="Arial"/>
                <w:i/>
                <w:iCs/>
                <w:sz w:val="22"/>
                <w:szCs w:val="22"/>
              </w:rPr>
              <w:t>Science Advances</w:t>
            </w:r>
            <w:r w:rsidR="00246F0A">
              <w:rPr>
                <w:rFonts w:ascii="Arial" w:hAnsi="Arial" w:cs="Arial"/>
                <w:sz w:val="22"/>
                <w:szCs w:val="22"/>
              </w:rPr>
              <w:t xml:space="preserve">, </w:t>
            </w:r>
            <w:r w:rsidRPr="00246F0A">
              <w:rPr>
                <w:rFonts w:ascii="Arial" w:hAnsi="Arial" w:cs="Arial"/>
                <w:sz w:val="22"/>
                <w:szCs w:val="22"/>
              </w:rPr>
              <w:t xml:space="preserve">5(10): eaax8995, </w:t>
            </w:r>
            <w:hyperlink r:id="rId10" w:history="1">
              <w:r w:rsidR="00246F0A" w:rsidRPr="00246F0A">
                <w:rPr>
                  <w:rStyle w:val="Hyperlink"/>
                  <w:rFonts w:ascii="Arial" w:hAnsi="Arial" w:cs="Arial"/>
                  <w:sz w:val="22"/>
                  <w:szCs w:val="22"/>
                </w:rPr>
                <w:t>https://www.science.org/doi/10.1126/sciadv.aax8995</w:t>
              </w:r>
            </w:hyperlink>
            <w:r w:rsidRPr="00246F0A">
              <w:rPr>
                <w:rFonts w:ascii="Arial" w:hAnsi="Arial" w:cs="Arial"/>
                <w:sz w:val="22"/>
                <w:szCs w:val="22"/>
              </w:rPr>
              <w:t>.</w:t>
            </w:r>
          </w:p>
          <w:p w14:paraId="464B94BD" w14:textId="276BD6E5" w:rsidR="00246F0A" w:rsidRPr="00246F0A" w:rsidRDefault="00246F0A" w:rsidP="00246F0A">
            <w:pPr>
              <w:pStyle w:val="ListParagraph"/>
              <w:numPr>
                <w:ilvl w:val="0"/>
                <w:numId w:val="4"/>
              </w:numPr>
              <w:ind w:left="323"/>
              <w:rPr>
                <w:rFonts w:ascii="Arial" w:hAnsi="Arial" w:cs="Arial"/>
                <w:sz w:val="22"/>
                <w:szCs w:val="22"/>
              </w:rPr>
            </w:pPr>
            <w:r w:rsidRPr="00246F0A">
              <w:rPr>
                <w:rFonts w:ascii="Arial" w:hAnsi="Arial" w:cs="Arial"/>
                <w:color w:val="000000"/>
                <w:sz w:val="22"/>
                <w:szCs w:val="22"/>
                <w:lang w:val="en-US"/>
              </w:rPr>
              <w:t>Marino, E. (</w:t>
            </w:r>
            <w:r w:rsidRPr="00246F0A">
              <w:rPr>
                <w:rFonts w:ascii="Arial" w:hAnsi="Arial" w:cs="Arial"/>
                <w:color w:val="000085"/>
                <w:sz w:val="22"/>
                <w:szCs w:val="22"/>
                <w:lang w:val="en-US"/>
              </w:rPr>
              <w:t>2018</w:t>
            </w:r>
            <w:r w:rsidRPr="00246F0A">
              <w:rPr>
                <w:rFonts w:ascii="Arial" w:hAnsi="Arial" w:cs="Arial"/>
                <w:color w:val="000000"/>
                <w:sz w:val="22"/>
                <w:szCs w:val="22"/>
                <w:lang w:val="en-US"/>
              </w:rPr>
              <w:t xml:space="preserve">). Adaptation privilege and voluntary buyouts: Perspectives on ethnocentrism in sea level rise relocation and retreat policies in the US. </w:t>
            </w:r>
            <w:r w:rsidRPr="00246F0A">
              <w:rPr>
                <w:rFonts w:ascii="Arial" w:hAnsi="Arial" w:cs="Arial"/>
                <w:i/>
                <w:iCs/>
                <w:color w:val="000000"/>
                <w:sz w:val="22"/>
                <w:szCs w:val="22"/>
                <w:lang w:val="en-US"/>
              </w:rPr>
              <w:t>Global Environmental Change</w:t>
            </w:r>
            <w:r w:rsidRPr="00246F0A">
              <w:rPr>
                <w:rFonts w:ascii="Arial" w:hAnsi="Arial" w:cs="Arial"/>
                <w:color w:val="000000"/>
                <w:sz w:val="22"/>
                <w:szCs w:val="22"/>
                <w:lang w:val="en-US"/>
              </w:rPr>
              <w:t xml:space="preserve">, 49, 10–13. </w:t>
            </w:r>
            <w:r w:rsidRPr="00246F0A">
              <w:rPr>
                <w:rFonts w:ascii="Arial" w:hAnsi="Arial" w:cs="Arial"/>
                <w:color w:val="000085"/>
                <w:sz w:val="22"/>
                <w:szCs w:val="22"/>
                <w:lang w:val="en-US"/>
              </w:rPr>
              <w:t>https://doi.org/10.1016/j.gloenvcha.2018.01.002</w:t>
            </w:r>
          </w:p>
          <w:p w14:paraId="44C8EEFE" w14:textId="6A241F52" w:rsidR="007B44FE" w:rsidRPr="00246F0A" w:rsidRDefault="007B44FE" w:rsidP="001C009B">
            <w:pPr>
              <w:rPr>
                <w:rFonts w:ascii="Arial" w:hAnsi="Arial" w:cs="Arial"/>
                <w:bCs/>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haris SIL">
    <w:altName w:val="Charis SI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A71473"/>
    <w:multiLevelType w:val="hybridMultilevel"/>
    <w:tmpl w:val="4A54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651136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C7873"/>
    <w:rsid w:val="00105E39"/>
    <w:rsid w:val="00132AE5"/>
    <w:rsid w:val="001454CC"/>
    <w:rsid w:val="00147D03"/>
    <w:rsid w:val="00155315"/>
    <w:rsid w:val="001B6C26"/>
    <w:rsid w:val="001C009B"/>
    <w:rsid w:val="0021304A"/>
    <w:rsid w:val="00246F0A"/>
    <w:rsid w:val="00247C60"/>
    <w:rsid w:val="00256963"/>
    <w:rsid w:val="002E3AA3"/>
    <w:rsid w:val="002F739B"/>
    <w:rsid w:val="00317356"/>
    <w:rsid w:val="0034503D"/>
    <w:rsid w:val="00354C31"/>
    <w:rsid w:val="00375B20"/>
    <w:rsid w:val="00375C56"/>
    <w:rsid w:val="00386D01"/>
    <w:rsid w:val="003C2829"/>
    <w:rsid w:val="004049E7"/>
    <w:rsid w:val="00442556"/>
    <w:rsid w:val="00462B90"/>
    <w:rsid w:val="00466B9C"/>
    <w:rsid w:val="004828A0"/>
    <w:rsid w:val="004B69C7"/>
    <w:rsid w:val="004D193B"/>
    <w:rsid w:val="004F4CE8"/>
    <w:rsid w:val="004F5C81"/>
    <w:rsid w:val="00511092"/>
    <w:rsid w:val="0053222C"/>
    <w:rsid w:val="005469BD"/>
    <w:rsid w:val="00550B17"/>
    <w:rsid w:val="005854B8"/>
    <w:rsid w:val="0065012F"/>
    <w:rsid w:val="0068043B"/>
    <w:rsid w:val="00681CA7"/>
    <w:rsid w:val="006D79A3"/>
    <w:rsid w:val="00766FEB"/>
    <w:rsid w:val="007917FF"/>
    <w:rsid w:val="007B44FE"/>
    <w:rsid w:val="008235E8"/>
    <w:rsid w:val="008773DF"/>
    <w:rsid w:val="008B01BA"/>
    <w:rsid w:val="008B50A0"/>
    <w:rsid w:val="008C0C35"/>
    <w:rsid w:val="008C22AD"/>
    <w:rsid w:val="008C2633"/>
    <w:rsid w:val="008E3D8D"/>
    <w:rsid w:val="008F2F93"/>
    <w:rsid w:val="009010B0"/>
    <w:rsid w:val="00906B39"/>
    <w:rsid w:val="00915323"/>
    <w:rsid w:val="00963443"/>
    <w:rsid w:val="0099137B"/>
    <w:rsid w:val="009C374A"/>
    <w:rsid w:val="009D2BBC"/>
    <w:rsid w:val="009E5D0E"/>
    <w:rsid w:val="009F4EA0"/>
    <w:rsid w:val="00B026E8"/>
    <w:rsid w:val="00B051B5"/>
    <w:rsid w:val="00B55865"/>
    <w:rsid w:val="00BA0872"/>
    <w:rsid w:val="00BA26BB"/>
    <w:rsid w:val="00BC6810"/>
    <w:rsid w:val="00BD0FE8"/>
    <w:rsid w:val="00BE0B4D"/>
    <w:rsid w:val="00BE58D6"/>
    <w:rsid w:val="00C1598D"/>
    <w:rsid w:val="00C26081"/>
    <w:rsid w:val="00C4126D"/>
    <w:rsid w:val="00C76C99"/>
    <w:rsid w:val="00C8423A"/>
    <w:rsid w:val="00CA0504"/>
    <w:rsid w:val="00CE53FE"/>
    <w:rsid w:val="00D665AE"/>
    <w:rsid w:val="00D716AD"/>
    <w:rsid w:val="00DB7929"/>
    <w:rsid w:val="00DD1BB3"/>
    <w:rsid w:val="00E612FF"/>
    <w:rsid w:val="00EB1B31"/>
    <w:rsid w:val="00F818D6"/>
    <w:rsid w:val="00FA2DC3"/>
    <w:rsid w:val="00FA372B"/>
    <w:rsid w:val="00FF1D4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Default">
    <w:name w:val="Default"/>
    <w:rsid w:val="007B44FE"/>
    <w:pPr>
      <w:autoSpaceDE w:val="0"/>
      <w:autoSpaceDN w:val="0"/>
      <w:adjustRightInd w:val="0"/>
    </w:pPr>
    <w:rPr>
      <w:rFonts w:ascii="Charis SIL" w:hAnsi="Charis SIL" w:cs="Charis SIL"/>
      <w:color w:val="000000"/>
      <w:lang w:val="en-US"/>
    </w:rPr>
  </w:style>
  <w:style w:type="character" w:styleId="Hyperlink">
    <w:name w:val="Hyperlink"/>
    <w:basedOn w:val="DefaultParagraphFont"/>
    <w:uiPriority w:val="99"/>
    <w:unhideWhenUsed/>
    <w:rsid w:val="00915323"/>
    <w:rPr>
      <w:color w:val="0563C1" w:themeColor="hyperlink"/>
      <w:u w:val="single"/>
    </w:rPr>
  </w:style>
  <w:style w:type="character" w:styleId="UnresolvedMention">
    <w:name w:val="Unresolved Mention"/>
    <w:basedOn w:val="DefaultParagraphFont"/>
    <w:uiPriority w:val="99"/>
    <w:semiHidden/>
    <w:unhideWhenUsed/>
    <w:rsid w:val="00915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9/02/climate/climate-towns-bankruptcy.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cience.org/doi/10.1126/sciadv.aax8995" TargetMode="External"/><Relationship Id="rId4" Type="http://schemas.openxmlformats.org/officeDocument/2006/relationships/numbering" Target="numbering.xml"/><Relationship Id="rId9" Type="http://schemas.openxmlformats.org/officeDocument/2006/relationships/hyperlink" Target="https://doi.org/10.7930/NCA5.2023.CH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9567C-D207-4EA2-A2F7-9824EDFF5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6911e96c-4cc4-42d5-8e43-f93924cf6a05"/>
    <ds:schemaRef ds:uri="http://purl.org/dc/dcmitype/"/>
    <ds:schemaRef ds:uri="9c8a2b7b-0bee-4c48-b0a6-23db8982d3bc"/>
    <ds:schemaRef ds:uri="http://schemas.openxmlformats.org/package/2006/metadata/core-properties"/>
    <ds:schemaRef ds:uri="cab52c9b-ab33-4221-8af9-54f8f2b86a8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741</Words>
  <Characters>4226</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2025-03-06T21:16:00Z</dcterms:created>
  <dcterms:modified xsi:type="dcterms:W3CDTF">2025-08-12T01:01:00Z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