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1017A3A7" w:rsidR="00C8423A" w:rsidRPr="00260A3B" w:rsidRDefault="00C92ECC" w:rsidP="00706DED">
            <w:pPr>
              <w:jc w:val="both"/>
              <w:rPr>
                <w:rFonts w:ascii="Arial" w:hAnsi="Arial" w:cs="Arial"/>
                <w:bCs/>
                <w:i/>
                <w:iCs/>
                <w:sz w:val="22"/>
                <w:szCs w:val="22"/>
                <w:u w:val="single"/>
              </w:rPr>
            </w:pPr>
            <w:r w:rsidRPr="00260A3B">
              <w:rPr>
                <w:rFonts w:ascii="Arial" w:hAnsi="Arial" w:cs="Arial"/>
                <w:bCs/>
                <w:i/>
                <w:iCs/>
                <w:sz w:val="22"/>
                <w:szCs w:val="22"/>
              </w:rPr>
              <w:t>Paper</w:t>
            </w:r>
          </w:p>
          <w:p w14:paraId="7FFFEB04" w14:textId="77777777" w:rsidR="00C8423A" w:rsidRPr="00260A3B" w:rsidRDefault="00C22106" w:rsidP="002E7D7B">
            <w:pPr>
              <w:jc w:val="both"/>
              <w:rPr>
                <w:rFonts w:ascii="Arial" w:hAnsi="Arial" w:cs="Arial"/>
                <w:b/>
                <w:bCs/>
                <w:sz w:val="22"/>
                <w:szCs w:val="22"/>
              </w:rPr>
            </w:pPr>
            <w:r w:rsidRPr="00260A3B">
              <w:rPr>
                <w:rFonts w:ascii="Arial" w:hAnsi="Arial" w:cs="Arial"/>
                <w:b/>
                <w:bCs/>
                <w:sz w:val="22"/>
                <w:szCs w:val="22"/>
              </w:rPr>
              <w:t xml:space="preserve">Rethinking Water Governance in Chile Under Extreme Climate Scenarios: From Private Property to Public Good </w:t>
            </w:r>
            <w:r w:rsidR="009B3C93" w:rsidRPr="00260A3B">
              <w:rPr>
                <w:rFonts w:ascii="Arial" w:hAnsi="Arial" w:cs="Arial"/>
                <w:b/>
                <w:bCs/>
                <w:sz w:val="22"/>
                <w:szCs w:val="22"/>
              </w:rPr>
              <w:t xml:space="preserve"> </w:t>
            </w:r>
          </w:p>
          <w:p w14:paraId="3F7D1534" w14:textId="1D7C96CE" w:rsidR="00C92ECC" w:rsidRPr="009B3C93" w:rsidRDefault="00C92ECC" w:rsidP="002E7D7B">
            <w:pPr>
              <w:jc w:val="both"/>
              <w:rPr>
                <w:rFonts w:ascii="Arial" w:hAnsi="Arial" w:cs="Arial"/>
                <w:b/>
                <w:bCs/>
                <w:sz w:val="24"/>
                <w:szCs w:val="24"/>
              </w:rPr>
            </w:pPr>
          </w:p>
        </w:tc>
      </w:tr>
      <w:tr w:rsidR="00C8423A" w:rsidRPr="0003525D" w14:paraId="1A1C8C63" w14:textId="77777777" w:rsidTr="009F4EA0">
        <w:trPr>
          <w:trHeight w:val="3124"/>
        </w:trPr>
        <w:tc>
          <w:tcPr>
            <w:tcW w:w="8640" w:type="dxa"/>
          </w:tcPr>
          <w:p w14:paraId="65A278DB" w14:textId="77777777" w:rsidR="00C8423A" w:rsidRPr="00C92ECC" w:rsidRDefault="00C8423A" w:rsidP="00706DED">
            <w:pPr>
              <w:jc w:val="both"/>
              <w:rPr>
                <w:rFonts w:ascii="Arial" w:hAnsi="Arial" w:cs="Arial"/>
                <w:b/>
                <w:sz w:val="22"/>
                <w:szCs w:val="22"/>
              </w:rPr>
            </w:pPr>
          </w:p>
          <w:p w14:paraId="131A5F05" w14:textId="77777777" w:rsidR="0065012F" w:rsidRPr="00C92ECC" w:rsidRDefault="0065012F" w:rsidP="00C92ECC">
            <w:pPr>
              <w:rPr>
                <w:rFonts w:ascii="Arial" w:hAnsi="Arial" w:cs="Arial"/>
                <w:b/>
                <w:sz w:val="22"/>
                <w:szCs w:val="22"/>
              </w:rPr>
            </w:pPr>
            <w:r w:rsidRPr="00C92ECC">
              <w:rPr>
                <w:rFonts w:ascii="Arial" w:hAnsi="Arial" w:cs="Arial"/>
                <w:b/>
                <w:sz w:val="22"/>
                <w:szCs w:val="22"/>
              </w:rPr>
              <w:t>Introduction</w:t>
            </w:r>
          </w:p>
          <w:p w14:paraId="22C5734D" w14:textId="77777777" w:rsidR="00B94B30" w:rsidRDefault="00071D83" w:rsidP="00C92ECC">
            <w:pPr>
              <w:rPr>
                <w:rFonts w:ascii="Arial" w:hAnsi="Arial" w:cs="Arial"/>
                <w:bCs/>
                <w:sz w:val="22"/>
                <w:szCs w:val="22"/>
              </w:rPr>
            </w:pPr>
            <w:r w:rsidRPr="00C92ECC">
              <w:rPr>
                <w:rFonts w:ascii="Arial" w:hAnsi="Arial" w:cs="Arial"/>
                <w:bCs/>
                <w:sz w:val="22"/>
                <w:szCs w:val="22"/>
              </w:rPr>
              <w:t>Chile's</w:t>
            </w:r>
            <w:r w:rsidR="00141FFA" w:rsidRPr="00C92ECC">
              <w:rPr>
                <w:rFonts w:ascii="Arial" w:hAnsi="Arial" w:cs="Arial"/>
                <w:bCs/>
                <w:sz w:val="22"/>
                <w:szCs w:val="22"/>
              </w:rPr>
              <w:t xml:space="preserve"> water governance system is undergoing a critical transition, moving from a neoliberal, privatised model to a more democratic, public-oriented framework </w:t>
            </w:r>
            <w:r w:rsidR="000136D7" w:rsidRPr="00C92ECC">
              <w:rPr>
                <w:rFonts w:ascii="Arial" w:hAnsi="Arial" w:cs="Arial"/>
                <w:bCs/>
                <w:sz w:val="22"/>
                <w:szCs w:val="22"/>
              </w:rPr>
              <w:t>in response</w:t>
            </w:r>
            <w:r w:rsidR="00F215C0" w:rsidRPr="00C92ECC">
              <w:rPr>
                <w:rFonts w:ascii="Arial" w:hAnsi="Arial" w:cs="Arial"/>
                <w:bCs/>
                <w:sz w:val="22"/>
                <w:szCs w:val="22"/>
              </w:rPr>
              <w:t xml:space="preserve"> to</w:t>
            </w:r>
            <w:r w:rsidR="000136D7" w:rsidRPr="00C92ECC">
              <w:rPr>
                <w:rFonts w:ascii="Arial" w:hAnsi="Arial" w:cs="Arial"/>
                <w:bCs/>
                <w:sz w:val="22"/>
                <w:szCs w:val="22"/>
              </w:rPr>
              <w:t xml:space="preserve"> </w:t>
            </w:r>
            <w:r w:rsidR="00F215C0" w:rsidRPr="00C92ECC">
              <w:rPr>
                <w:rFonts w:ascii="Arial" w:hAnsi="Arial" w:cs="Arial"/>
                <w:bCs/>
                <w:sz w:val="22"/>
                <w:szCs w:val="22"/>
              </w:rPr>
              <w:t>a</w:t>
            </w:r>
            <w:r w:rsidR="000136D7" w:rsidRPr="00C92ECC">
              <w:rPr>
                <w:rFonts w:ascii="Arial" w:hAnsi="Arial" w:cs="Arial"/>
                <w:bCs/>
                <w:sz w:val="22"/>
                <w:szCs w:val="22"/>
              </w:rPr>
              <w:t>n ongoing crisis</w:t>
            </w:r>
            <w:r w:rsidR="00141FFA" w:rsidRPr="00C92ECC">
              <w:rPr>
                <w:rFonts w:ascii="Arial" w:hAnsi="Arial" w:cs="Arial"/>
                <w:bCs/>
                <w:sz w:val="22"/>
                <w:szCs w:val="22"/>
              </w:rPr>
              <w:t xml:space="preserve">. </w:t>
            </w:r>
            <w:r w:rsidR="008C2615" w:rsidRPr="00C92ECC">
              <w:rPr>
                <w:rFonts w:ascii="Arial" w:hAnsi="Arial" w:cs="Arial"/>
                <w:bCs/>
                <w:sz w:val="22"/>
                <w:szCs w:val="22"/>
              </w:rPr>
              <w:t xml:space="preserve">This transformation is occurring against the backdrop of intensifying climate change impacts, particularly evident in rural areas such as </w:t>
            </w:r>
            <w:proofErr w:type="spellStart"/>
            <w:r w:rsidR="008C2615" w:rsidRPr="00C92ECC">
              <w:rPr>
                <w:rFonts w:ascii="Arial" w:hAnsi="Arial" w:cs="Arial"/>
                <w:bCs/>
                <w:sz w:val="22"/>
                <w:szCs w:val="22"/>
              </w:rPr>
              <w:t>Petorca</w:t>
            </w:r>
            <w:proofErr w:type="spellEnd"/>
            <w:r w:rsidR="008C2615" w:rsidRPr="00C92ECC">
              <w:rPr>
                <w:rFonts w:ascii="Arial" w:hAnsi="Arial" w:cs="Arial"/>
                <w:bCs/>
                <w:sz w:val="22"/>
                <w:szCs w:val="22"/>
              </w:rPr>
              <w:t>, where conflicts over water access have escalated significantly.</w:t>
            </w:r>
            <w:r w:rsidR="009000F8" w:rsidRPr="00C92ECC">
              <w:rPr>
                <w:rFonts w:ascii="Arial" w:hAnsi="Arial" w:cs="Arial"/>
                <w:bCs/>
                <w:sz w:val="22"/>
                <w:szCs w:val="22"/>
              </w:rPr>
              <w:t xml:space="preserve"> </w:t>
            </w:r>
          </w:p>
          <w:p w14:paraId="6FE213AA" w14:textId="77777777" w:rsidR="00B94B30" w:rsidRDefault="00B94B30" w:rsidP="00C92ECC">
            <w:pPr>
              <w:rPr>
                <w:rFonts w:ascii="Arial" w:hAnsi="Arial" w:cs="Arial"/>
                <w:bCs/>
                <w:sz w:val="22"/>
                <w:szCs w:val="22"/>
              </w:rPr>
            </w:pPr>
          </w:p>
          <w:p w14:paraId="1B7011B4" w14:textId="77777777" w:rsidR="00B94B30" w:rsidRDefault="009000F8" w:rsidP="00C92ECC">
            <w:pPr>
              <w:rPr>
                <w:rFonts w:ascii="Arial" w:hAnsi="Arial" w:cs="Arial"/>
                <w:bCs/>
                <w:sz w:val="22"/>
                <w:szCs w:val="22"/>
              </w:rPr>
            </w:pPr>
            <w:r w:rsidRPr="00C92ECC">
              <w:rPr>
                <w:rFonts w:ascii="Arial" w:hAnsi="Arial" w:cs="Arial"/>
                <w:bCs/>
                <w:sz w:val="22"/>
                <w:szCs w:val="22"/>
              </w:rPr>
              <w:t>The water crisis and its governance challenges in Chile are not solely attributable to climate change; rather, they emerge from complex interactions among water management policies, ecological systems,</w:t>
            </w:r>
            <w:r w:rsidR="00070FE5" w:rsidRPr="00C92ECC">
              <w:rPr>
                <w:rFonts w:ascii="Arial" w:hAnsi="Arial" w:cs="Arial"/>
                <w:bCs/>
                <w:sz w:val="22"/>
                <w:szCs w:val="22"/>
              </w:rPr>
              <w:t xml:space="preserve"> agribusiness</w:t>
            </w:r>
            <w:r w:rsidRPr="00C92ECC">
              <w:rPr>
                <w:rFonts w:ascii="Arial" w:hAnsi="Arial" w:cs="Arial"/>
                <w:bCs/>
                <w:sz w:val="22"/>
                <w:szCs w:val="22"/>
              </w:rPr>
              <w:t xml:space="preserve"> and local community needs.</w:t>
            </w:r>
            <w:r w:rsidR="00C2489F" w:rsidRPr="00C92ECC">
              <w:rPr>
                <w:rFonts w:ascii="Arial" w:hAnsi="Arial" w:cs="Arial"/>
                <w:bCs/>
                <w:sz w:val="22"/>
                <w:szCs w:val="22"/>
              </w:rPr>
              <w:t xml:space="preserve"> </w:t>
            </w:r>
            <w:r w:rsidR="0077636B" w:rsidRPr="00C92ECC">
              <w:rPr>
                <w:rFonts w:ascii="Arial" w:hAnsi="Arial" w:cs="Arial"/>
                <w:bCs/>
                <w:sz w:val="22"/>
                <w:szCs w:val="22"/>
              </w:rPr>
              <w:t xml:space="preserve">This study examines the water governance crisis through the lens of aspirations, desires, and demands of water actors in </w:t>
            </w:r>
            <w:proofErr w:type="spellStart"/>
            <w:r w:rsidR="0077636B" w:rsidRPr="00C92ECC">
              <w:rPr>
                <w:rFonts w:ascii="Arial" w:hAnsi="Arial" w:cs="Arial"/>
                <w:bCs/>
                <w:sz w:val="22"/>
                <w:szCs w:val="22"/>
              </w:rPr>
              <w:t>Petorca</w:t>
            </w:r>
            <w:proofErr w:type="spellEnd"/>
            <w:r w:rsidR="0077636B" w:rsidRPr="00C92ECC">
              <w:rPr>
                <w:rFonts w:ascii="Arial" w:hAnsi="Arial" w:cs="Arial"/>
                <w:bCs/>
                <w:sz w:val="22"/>
                <w:szCs w:val="22"/>
              </w:rPr>
              <w:t xml:space="preserve"> and at the central level in Santiago, including </w:t>
            </w:r>
            <w:r w:rsidR="00066533" w:rsidRPr="00C92ECC">
              <w:rPr>
                <w:rFonts w:ascii="Arial" w:hAnsi="Arial" w:cs="Arial"/>
                <w:bCs/>
                <w:sz w:val="22"/>
                <w:szCs w:val="22"/>
              </w:rPr>
              <w:t>vario</w:t>
            </w:r>
            <w:r w:rsidR="00C2489F" w:rsidRPr="00C92ECC">
              <w:rPr>
                <w:rFonts w:ascii="Arial" w:hAnsi="Arial" w:cs="Arial"/>
                <w:bCs/>
                <w:sz w:val="22"/>
                <w:szCs w:val="22"/>
              </w:rPr>
              <w:t>us</w:t>
            </w:r>
            <w:r w:rsidR="0077636B" w:rsidRPr="00C92ECC">
              <w:rPr>
                <w:rFonts w:ascii="Arial" w:hAnsi="Arial" w:cs="Arial"/>
                <w:bCs/>
                <w:sz w:val="22"/>
                <w:szCs w:val="22"/>
              </w:rPr>
              <w:t xml:space="preserve"> water agencies.</w:t>
            </w:r>
            <w:r w:rsidR="00853AD0" w:rsidRPr="00C92ECC">
              <w:rPr>
                <w:rFonts w:ascii="Arial" w:hAnsi="Arial" w:cs="Arial"/>
                <w:bCs/>
                <w:sz w:val="22"/>
                <w:szCs w:val="22"/>
              </w:rPr>
              <w:t xml:space="preserve"> </w:t>
            </w:r>
          </w:p>
          <w:p w14:paraId="547E763D" w14:textId="77777777" w:rsidR="00B94B30" w:rsidRDefault="00B94B30" w:rsidP="00C92ECC">
            <w:pPr>
              <w:rPr>
                <w:rFonts w:ascii="Arial" w:hAnsi="Arial" w:cs="Arial"/>
                <w:bCs/>
                <w:sz w:val="22"/>
                <w:szCs w:val="22"/>
              </w:rPr>
            </w:pPr>
          </w:p>
          <w:p w14:paraId="2010472C" w14:textId="3563E615" w:rsidR="0077636B" w:rsidRPr="00C92ECC" w:rsidRDefault="00853AD0" w:rsidP="00C92ECC">
            <w:pPr>
              <w:rPr>
                <w:rFonts w:ascii="Arial" w:hAnsi="Arial" w:cs="Arial"/>
                <w:bCs/>
                <w:sz w:val="22"/>
                <w:szCs w:val="22"/>
              </w:rPr>
            </w:pPr>
            <w:r w:rsidRPr="00C92ECC">
              <w:rPr>
                <w:rFonts w:ascii="Arial" w:hAnsi="Arial" w:cs="Arial"/>
                <w:bCs/>
                <w:sz w:val="22"/>
                <w:szCs w:val="22"/>
              </w:rPr>
              <w:t>Thus, adopting this approach, the research aims to provide a comprehensive understanding of the socio-ecological and legal dynamics shaping Chile's water governance crisis landscape.</w:t>
            </w:r>
          </w:p>
          <w:p w14:paraId="11204F8C" w14:textId="77777777" w:rsidR="00C92ECC" w:rsidRPr="00C92ECC" w:rsidRDefault="00C92ECC" w:rsidP="00C92ECC">
            <w:pPr>
              <w:rPr>
                <w:rFonts w:ascii="Arial" w:hAnsi="Arial" w:cs="Arial"/>
                <w:bCs/>
                <w:sz w:val="22"/>
                <w:szCs w:val="22"/>
              </w:rPr>
            </w:pPr>
          </w:p>
          <w:p w14:paraId="5DE13B32" w14:textId="03384088" w:rsidR="0065012F" w:rsidRPr="00C92ECC" w:rsidRDefault="0065012F" w:rsidP="00C92ECC">
            <w:pPr>
              <w:jc w:val="both"/>
              <w:rPr>
                <w:rFonts w:ascii="Arial" w:hAnsi="Arial" w:cs="Arial"/>
                <w:b/>
                <w:sz w:val="22"/>
                <w:szCs w:val="22"/>
              </w:rPr>
            </w:pPr>
            <w:r w:rsidRPr="00C92ECC">
              <w:rPr>
                <w:rFonts w:ascii="Arial" w:hAnsi="Arial" w:cs="Arial"/>
                <w:b/>
                <w:sz w:val="22"/>
                <w:szCs w:val="22"/>
              </w:rPr>
              <w:t>Objectives</w:t>
            </w:r>
          </w:p>
          <w:p w14:paraId="2E2C7522" w14:textId="0314CBBF" w:rsidR="00DF69CC" w:rsidRPr="00C92ECC" w:rsidRDefault="00DF69CC" w:rsidP="00C92ECC">
            <w:pPr>
              <w:pStyle w:val="ListParagraph"/>
              <w:numPr>
                <w:ilvl w:val="0"/>
                <w:numId w:val="6"/>
              </w:numPr>
              <w:rPr>
                <w:rFonts w:ascii="Arial" w:hAnsi="Arial" w:cs="Arial"/>
                <w:bCs/>
                <w:sz w:val="22"/>
                <w:szCs w:val="22"/>
              </w:rPr>
            </w:pPr>
            <w:proofErr w:type="spellStart"/>
            <w:r w:rsidRPr="00C92ECC">
              <w:rPr>
                <w:rFonts w:ascii="Arial" w:hAnsi="Arial" w:cs="Arial"/>
                <w:bCs/>
                <w:sz w:val="22"/>
                <w:szCs w:val="22"/>
              </w:rPr>
              <w:t>Analyze</w:t>
            </w:r>
            <w:proofErr w:type="spellEnd"/>
            <w:r w:rsidRPr="00C92ECC">
              <w:rPr>
                <w:rFonts w:ascii="Arial" w:hAnsi="Arial" w:cs="Arial"/>
                <w:bCs/>
                <w:sz w:val="22"/>
                <w:szCs w:val="22"/>
              </w:rPr>
              <w:t xml:space="preserve"> the transition of Chile's water governance from private to </w:t>
            </w:r>
            <w:r w:rsidR="0037331F" w:rsidRPr="00C92ECC">
              <w:rPr>
                <w:rFonts w:ascii="Arial" w:hAnsi="Arial" w:cs="Arial"/>
                <w:bCs/>
                <w:sz w:val="22"/>
                <w:szCs w:val="22"/>
              </w:rPr>
              <w:t>a more democratic, public-oriented</w:t>
            </w:r>
            <w:r w:rsidRPr="00C92ECC">
              <w:rPr>
                <w:rFonts w:ascii="Arial" w:hAnsi="Arial" w:cs="Arial"/>
                <w:bCs/>
                <w:sz w:val="22"/>
                <w:szCs w:val="22"/>
              </w:rPr>
              <w:t>, focusing on its impacts on rural communities and ecosystems.</w:t>
            </w:r>
          </w:p>
          <w:p w14:paraId="797D4895" w14:textId="2F17C157" w:rsidR="00DF69CC" w:rsidRPr="00C92ECC" w:rsidRDefault="00DF69CC" w:rsidP="00C92ECC">
            <w:pPr>
              <w:pStyle w:val="ListParagraph"/>
              <w:numPr>
                <w:ilvl w:val="0"/>
                <w:numId w:val="6"/>
              </w:numPr>
              <w:rPr>
                <w:rFonts w:ascii="Arial" w:hAnsi="Arial" w:cs="Arial"/>
                <w:bCs/>
                <w:sz w:val="22"/>
                <w:szCs w:val="22"/>
              </w:rPr>
            </w:pPr>
            <w:r w:rsidRPr="00C92ECC">
              <w:rPr>
                <w:rFonts w:ascii="Arial" w:hAnsi="Arial" w:cs="Arial"/>
                <w:bCs/>
                <w:sz w:val="22"/>
                <w:szCs w:val="22"/>
              </w:rPr>
              <w:t>Examine the aspirations</w:t>
            </w:r>
            <w:r w:rsidR="00E517F0" w:rsidRPr="00C92ECC">
              <w:rPr>
                <w:rFonts w:ascii="Arial" w:hAnsi="Arial" w:cs="Arial"/>
                <w:bCs/>
                <w:sz w:val="22"/>
                <w:szCs w:val="22"/>
              </w:rPr>
              <w:t>, demands</w:t>
            </w:r>
            <w:r w:rsidRPr="00C92ECC">
              <w:rPr>
                <w:rFonts w:ascii="Arial" w:hAnsi="Arial" w:cs="Arial"/>
                <w:bCs/>
                <w:sz w:val="22"/>
                <w:szCs w:val="22"/>
              </w:rPr>
              <w:t xml:space="preserve"> and frustrations of </w:t>
            </w:r>
            <w:proofErr w:type="spellStart"/>
            <w:r w:rsidRPr="00C92ECC">
              <w:rPr>
                <w:rFonts w:ascii="Arial" w:hAnsi="Arial" w:cs="Arial"/>
                <w:bCs/>
                <w:sz w:val="22"/>
                <w:szCs w:val="22"/>
              </w:rPr>
              <w:t>Petorca</w:t>
            </w:r>
            <w:proofErr w:type="spellEnd"/>
            <w:r w:rsidRPr="00C92ECC">
              <w:rPr>
                <w:rFonts w:ascii="Arial" w:hAnsi="Arial" w:cs="Arial"/>
                <w:bCs/>
                <w:sz w:val="22"/>
                <w:szCs w:val="22"/>
              </w:rPr>
              <w:t xml:space="preserve"> residents regarding water access and governance.</w:t>
            </w:r>
          </w:p>
          <w:p w14:paraId="4BB0BFDF" w14:textId="69B4AE4B" w:rsidR="00DF69CC" w:rsidRPr="00C92ECC" w:rsidRDefault="00DF69CC" w:rsidP="00C92ECC">
            <w:pPr>
              <w:pStyle w:val="ListParagraph"/>
              <w:numPr>
                <w:ilvl w:val="0"/>
                <w:numId w:val="6"/>
              </w:numPr>
              <w:rPr>
                <w:rFonts w:ascii="Arial" w:hAnsi="Arial" w:cs="Arial"/>
                <w:bCs/>
                <w:sz w:val="22"/>
                <w:szCs w:val="22"/>
              </w:rPr>
            </w:pPr>
            <w:r w:rsidRPr="00C92ECC">
              <w:rPr>
                <w:rFonts w:ascii="Arial" w:hAnsi="Arial" w:cs="Arial"/>
                <w:bCs/>
                <w:sz w:val="22"/>
                <w:szCs w:val="22"/>
              </w:rPr>
              <w:t xml:space="preserve">Investigate the demands and perspectives of water agencies and actors </w:t>
            </w:r>
            <w:proofErr w:type="gramStart"/>
            <w:r w:rsidRPr="00C92ECC">
              <w:rPr>
                <w:rFonts w:ascii="Arial" w:hAnsi="Arial" w:cs="Arial"/>
                <w:bCs/>
                <w:sz w:val="22"/>
                <w:szCs w:val="22"/>
              </w:rPr>
              <w:t xml:space="preserve">at </w:t>
            </w:r>
            <w:r w:rsidR="00521E31" w:rsidRPr="00C92ECC">
              <w:rPr>
                <w:rFonts w:ascii="Arial" w:hAnsi="Arial" w:cs="Arial"/>
                <w:bCs/>
                <w:sz w:val="22"/>
                <w:szCs w:val="22"/>
              </w:rPr>
              <w:t xml:space="preserve"> </w:t>
            </w:r>
            <w:proofErr w:type="spellStart"/>
            <w:r w:rsidR="00521E31" w:rsidRPr="00C92ECC">
              <w:rPr>
                <w:rFonts w:ascii="Arial" w:hAnsi="Arial" w:cs="Arial"/>
                <w:bCs/>
                <w:sz w:val="22"/>
                <w:szCs w:val="22"/>
              </w:rPr>
              <w:t>Petorca</w:t>
            </w:r>
            <w:proofErr w:type="spellEnd"/>
            <w:proofErr w:type="gramEnd"/>
            <w:r w:rsidR="00521E31" w:rsidRPr="00C92ECC">
              <w:rPr>
                <w:rFonts w:ascii="Arial" w:hAnsi="Arial" w:cs="Arial"/>
                <w:bCs/>
                <w:sz w:val="22"/>
                <w:szCs w:val="22"/>
              </w:rPr>
              <w:t xml:space="preserve"> and </w:t>
            </w:r>
            <w:r w:rsidRPr="00C92ECC">
              <w:rPr>
                <w:rFonts w:ascii="Arial" w:hAnsi="Arial" w:cs="Arial"/>
                <w:bCs/>
                <w:sz w:val="22"/>
                <w:szCs w:val="22"/>
              </w:rPr>
              <w:t>the central level in Santiago.</w:t>
            </w:r>
          </w:p>
          <w:p w14:paraId="457B40C1" w14:textId="0F4123FB" w:rsidR="00DF69CC" w:rsidRPr="00C92ECC" w:rsidRDefault="00DF69CC" w:rsidP="00C92ECC">
            <w:pPr>
              <w:pStyle w:val="ListParagraph"/>
              <w:numPr>
                <w:ilvl w:val="0"/>
                <w:numId w:val="6"/>
              </w:numPr>
              <w:rPr>
                <w:rFonts w:ascii="Arial" w:hAnsi="Arial" w:cs="Arial"/>
                <w:bCs/>
                <w:sz w:val="22"/>
                <w:szCs w:val="22"/>
              </w:rPr>
            </w:pPr>
            <w:r w:rsidRPr="00C92ECC">
              <w:rPr>
                <w:rFonts w:ascii="Arial" w:hAnsi="Arial" w:cs="Arial"/>
                <w:bCs/>
                <w:sz w:val="22"/>
                <w:szCs w:val="22"/>
              </w:rPr>
              <w:t>Evaluate how the rights of future generations can be upheld in the new water governance framework.</w:t>
            </w:r>
          </w:p>
          <w:p w14:paraId="7DF7D437" w14:textId="79170E02" w:rsidR="0065012F" w:rsidRPr="00C92ECC" w:rsidRDefault="00DF69CC" w:rsidP="00C92ECC">
            <w:pPr>
              <w:pStyle w:val="ListParagraph"/>
              <w:numPr>
                <w:ilvl w:val="0"/>
                <w:numId w:val="6"/>
              </w:numPr>
              <w:rPr>
                <w:rFonts w:ascii="Arial" w:hAnsi="Arial" w:cs="Arial"/>
                <w:bCs/>
                <w:sz w:val="22"/>
                <w:szCs w:val="22"/>
              </w:rPr>
            </w:pPr>
            <w:r w:rsidRPr="00C92ECC">
              <w:rPr>
                <w:rFonts w:ascii="Arial" w:hAnsi="Arial" w:cs="Arial"/>
                <w:bCs/>
                <w:sz w:val="22"/>
                <w:szCs w:val="22"/>
              </w:rPr>
              <w:t>Assess the implications of this transition for the food-water-biodiversity nexus in Chile.</w:t>
            </w:r>
          </w:p>
          <w:p w14:paraId="015CBE41" w14:textId="77777777" w:rsidR="00C92ECC" w:rsidRPr="00C92ECC" w:rsidRDefault="00C92ECC" w:rsidP="00706DED">
            <w:pPr>
              <w:jc w:val="both"/>
              <w:rPr>
                <w:rFonts w:ascii="Arial" w:hAnsi="Arial" w:cs="Arial"/>
                <w:b/>
                <w:sz w:val="22"/>
                <w:szCs w:val="22"/>
              </w:rPr>
            </w:pPr>
          </w:p>
          <w:p w14:paraId="457D2D05" w14:textId="5DEDA841" w:rsidR="0065012F" w:rsidRPr="00C92ECC" w:rsidRDefault="00906B39" w:rsidP="00706DED">
            <w:pPr>
              <w:jc w:val="both"/>
              <w:rPr>
                <w:rFonts w:ascii="Arial" w:hAnsi="Arial" w:cs="Arial"/>
                <w:b/>
                <w:sz w:val="22"/>
                <w:szCs w:val="22"/>
              </w:rPr>
            </w:pPr>
            <w:r w:rsidRPr="00C92ECC">
              <w:rPr>
                <w:rFonts w:ascii="Arial" w:hAnsi="Arial" w:cs="Arial"/>
                <w:b/>
                <w:sz w:val="22"/>
                <w:szCs w:val="22"/>
              </w:rPr>
              <w:t>Methodology</w:t>
            </w:r>
          </w:p>
          <w:p w14:paraId="6BCE6407" w14:textId="6F6BFF01" w:rsidR="002D0FEF" w:rsidRPr="00C92ECC" w:rsidRDefault="00204576" w:rsidP="00BF5468">
            <w:pPr>
              <w:rPr>
                <w:rFonts w:ascii="Arial" w:hAnsi="Arial" w:cs="Arial"/>
                <w:bCs/>
                <w:sz w:val="22"/>
                <w:szCs w:val="22"/>
              </w:rPr>
            </w:pPr>
            <w:r w:rsidRPr="00C92ECC">
              <w:rPr>
                <w:rFonts w:ascii="Arial" w:hAnsi="Arial" w:cs="Arial"/>
                <w:bCs/>
                <w:sz w:val="22"/>
                <w:szCs w:val="22"/>
              </w:rPr>
              <w:t xml:space="preserve">This study employs a mixed-methods approach, combining short ethnographies, participatory observation, semi-structured interviews, and thematic analysis in </w:t>
            </w:r>
            <w:proofErr w:type="spellStart"/>
            <w:r w:rsidRPr="00C92ECC">
              <w:rPr>
                <w:rFonts w:ascii="Arial" w:hAnsi="Arial" w:cs="Arial"/>
                <w:bCs/>
                <w:sz w:val="22"/>
                <w:szCs w:val="22"/>
              </w:rPr>
              <w:t>Petorca</w:t>
            </w:r>
            <w:proofErr w:type="spellEnd"/>
            <w:r w:rsidRPr="00C92ECC">
              <w:rPr>
                <w:rFonts w:ascii="Arial" w:hAnsi="Arial" w:cs="Arial"/>
                <w:bCs/>
                <w:sz w:val="22"/>
                <w:szCs w:val="22"/>
              </w:rPr>
              <w:t xml:space="preserve"> and Santiago. The research is grounded in political ecology and </w:t>
            </w:r>
            <w:r w:rsidR="00C23E12" w:rsidRPr="00C92ECC">
              <w:rPr>
                <w:rFonts w:ascii="Arial" w:hAnsi="Arial" w:cs="Arial"/>
                <w:bCs/>
                <w:sz w:val="22"/>
                <w:szCs w:val="22"/>
              </w:rPr>
              <w:t xml:space="preserve">hydrological </w:t>
            </w:r>
            <w:r w:rsidR="00E932B9" w:rsidRPr="00C92ECC">
              <w:rPr>
                <w:rFonts w:ascii="Arial" w:hAnsi="Arial" w:cs="Arial"/>
                <w:bCs/>
                <w:sz w:val="22"/>
                <w:szCs w:val="22"/>
              </w:rPr>
              <w:t>territory frameworks and is complemented by a legal method</w:t>
            </w:r>
            <w:r w:rsidRPr="00C92ECC">
              <w:rPr>
                <w:rFonts w:ascii="Arial" w:hAnsi="Arial" w:cs="Arial"/>
                <w:bCs/>
                <w:sz w:val="22"/>
                <w:szCs w:val="22"/>
              </w:rPr>
              <w:t xml:space="preserve"> analysis of Chilean water laws and Supreme Court rulings</w:t>
            </w:r>
            <w:r w:rsidR="00C17728" w:rsidRPr="00C92ECC">
              <w:rPr>
                <w:rFonts w:ascii="Arial" w:hAnsi="Arial" w:cs="Arial"/>
                <w:bCs/>
                <w:sz w:val="22"/>
                <w:szCs w:val="22"/>
              </w:rPr>
              <w:t>.</w:t>
            </w:r>
          </w:p>
          <w:p w14:paraId="015EFC6C" w14:textId="77777777" w:rsidR="0065012F" w:rsidRPr="00C92ECC" w:rsidRDefault="0065012F" w:rsidP="00706DED">
            <w:pPr>
              <w:jc w:val="both"/>
              <w:rPr>
                <w:rFonts w:ascii="Arial" w:hAnsi="Arial" w:cs="Arial"/>
                <w:b/>
                <w:sz w:val="22"/>
                <w:szCs w:val="22"/>
              </w:rPr>
            </w:pPr>
          </w:p>
          <w:p w14:paraId="62DAA8AE" w14:textId="77777777" w:rsidR="0065012F" w:rsidRPr="00C92ECC" w:rsidRDefault="0065012F" w:rsidP="00706DED">
            <w:pPr>
              <w:jc w:val="both"/>
              <w:rPr>
                <w:rFonts w:ascii="Arial" w:hAnsi="Arial" w:cs="Arial"/>
                <w:b/>
                <w:sz w:val="22"/>
                <w:szCs w:val="22"/>
              </w:rPr>
            </w:pPr>
            <w:r w:rsidRPr="00C92ECC">
              <w:rPr>
                <w:rFonts w:ascii="Arial" w:hAnsi="Arial" w:cs="Arial"/>
                <w:b/>
                <w:sz w:val="22"/>
                <w:szCs w:val="22"/>
              </w:rPr>
              <w:t>Findings</w:t>
            </w:r>
          </w:p>
          <w:p w14:paraId="03DCCE04" w14:textId="618F6425" w:rsidR="004808CD" w:rsidRPr="00C92ECC" w:rsidRDefault="004808CD" w:rsidP="00BF5468">
            <w:pPr>
              <w:rPr>
                <w:rFonts w:ascii="Arial" w:hAnsi="Arial" w:cs="Arial"/>
                <w:b/>
                <w:sz w:val="22"/>
                <w:szCs w:val="22"/>
              </w:rPr>
            </w:pPr>
            <w:r w:rsidRPr="00C92ECC">
              <w:rPr>
                <w:rFonts w:ascii="Arial" w:hAnsi="Arial" w:cs="Arial"/>
                <w:bCs/>
                <w:sz w:val="22"/>
                <w:szCs w:val="22"/>
              </w:rPr>
              <w:t xml:space="preserve">Preliminary results indicate significant tensions between agribusiness interests, particularly avocado producers, and local communities' water needs in </w:t>
            </w:r>
            <w:proofErr w:type="spellStart"/>
            <w:r w:rsidRPr="00C92ECC">
              <w:rPr>
                <w:rFonts w:ascii="Arial" w:hAnsi="Arial" w:cs="Arial"/>
                <w:bCs/>
                <w:sz w:val="22"/>
                <w:szCs w:val="22"/>
              </w:rPr>
              <w:t>Petorca</w:t>
            </w:r>
            <w:proofErr w:type="spellEnd"/>
            <w:r w:rsidRPr="00C92ECC">
              <w:rPr>
                <w:rFonts w:ascii="Arial" w:hAnsi="Arial" w:cs="Arial"/>
                <w:bCs/>
                <w:sz w:val="22"/>
                <w:szCs w:val="22"/>
              </w:rPr>
              <w:t xml:space="preserve">. The study reveals a complex interplay between various actors, including water agencies like the General Water Directorate, the Water Works Directorate or the National Commission of Irrigation. The research also highlights the critical role of grassroots </w:t>
            </w:r>
            <w:r w:rsidRPr="00C92ECC">
              <w:rPr>
                <w:rFonts w:ascii="Arial" w:hAnsi="Arial" w:cs="Arial"/>
                <w:bCs/>
                <w:sz w:val="22"/>
                <w:szCs w:val="22"/>
              </w:rPr>
              <w:lastRenderedPageBreak/>
              <w:t>movements like MODATIMA in advocating for water rights and shaping the new water governance model</w:t>
            </w:r>
            <w:r w:rsidRPr="00C92ECC">
              <w:rPr>
                <w:rFonts w:ascii="Arial" w:hAnsi="Arial" w:cs="Arial"/>
                <w:b/>
                <w:sz w:val="22"/>
                <w:szCs w:val="22"/>
              </w:rPr>
              <w:t>.</w:t>
            </w:r>
          </w:p>
          <w:p w14:paraId="26DC99F1" w14:textId="77777777" w:rsidR="0065012F" w:rsidRPr="00C92ECC" w:rsidRDefault="0065012F" w:rsidP="00706DED">
            <w:pPr>
              <w:jc w:val="both"/>
              <w:rPr>
                <w:rFonts w:ascii="Arial" w:hAnsi="Arial" w:cs="Arial"/>
                <w:b/>
                <w:sz w:val="22"/>
                <w:szCs w:val="22"/>
              </w:rPr>
            </w:pPr>
          </w:p>
          <w:p w14:paraId="261EC656" w14:textId="2669F05C" w:rsidR="00C8423A" w:rsidRPr="00C92ECC" w:rsidRDefault="0065012F" w:rsidP="00706DED">
            <w:pPr>
              <w:jc w:val="both"/>
              <w:rPr>
                <w:rFonts w:ascii="Arial" w:hAnsi="Arial" w:cs="Arial"/>
                <w:b/>
                <w:sz w:val="22"/>
                <w:szCs w:val="22"/>
              </w:rPr>
            </w:pPr>
            <w:r w:rsidRPr="00C92ECC">
              <w:rPr>
                <w:rFonts w:ascii="Arial" w:hAnsi="Arial" w:cs="Arial"/>
                <w:b/>
                <w:sz w:val="22"/>
                <w:szCs w:val="22"/>
              </w:rPr>
              <w:t xml:space="preserve">Significance of the work for policy and practice </w:t>
            </w:r>
          </w:p>
          <w:p w14:paraId="39AA1BB4" w14:textId="692DA60D" w:rsidR="00BE58D6" w:rsidRPr="00260A3B" w:rsidRDefault="00AD20F1" w:rsidP="00260A3B">
            <w:pPr>
              <w:rPr>
                <w:rFonts w:ascii="Arial" w:hAnsi="Arial" w:cs="Arial"/>
                <w:bCs/>
                <w:sz w:val="22"/>
                <w:szCs w:val="22"/>
              </w:rPr>
            </w:pPr>
            <w:r w:rsidRPr="00C92ECC">
              <w:rPr>
                <w:rFonts w:ascii="Arial" w:hAnsi="Arial" w:cs="Arial"/>
                <w:bCs/>
                <w:sz w:val="22"/>
                <w:szCs w:val="22"/>
              </w:rPr>
              <w:t>This research offers crucial insights for policymakers and practitioners grappling with water governance crises in the context of climate change and social conflicts regarding water access and management. It demonstrates the potential of reversing privatization trends to achieve more equitable and sustainable water management. The study's findings can inform the development of policies that balance economic interests with water justice and environmental sustainability, while considering the aspirations and demands of diverse water actors across different levels of water governance.</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61B368EB" w14:textId="77777777" w:rsidR="00E9119A" w:rsidRPr="00F95E53" w:rsidRDefault="00E9119A" w:rsidP="00BB2E32">
      <w:pPr>
        <w:rPr>
          <w:b/>
          <w:bCs/>
          <w:lang w:val="en-AU"/>
        </w:rPr>
      </w:pPr>
    </w:p>
    <w:p w14:paraId="3459D074" w14:textId="2BFA9B62" w:rsidR="0091500F" w:rsidRPr="00F95E53" w:rsidRDefault="00BC5CCE" w:rsidP="00BB2E32">
      <w:pPr>
        <w:rPr>
          <w:b/>
          <w:bCs/>
          <w:sz w:val="22"/>
          <w:szCs w:val="22"/>
          <w:lang w:val="en-AU"/>
        </w:rPr>
      </w:pPr>
      <w:r w:rsidRPr="00F95E53">
        <w:rPr>
          <w:b/>
          <w:bCs/>
          <w:sz w:val="22"/>
          <w:szCs w:val="22"/>
          <w:lang w:val="en-AU"/>
        </w:rPr>
        <w:t>References</w:t>
      </w:r>
    </w:p>
    <w:p w14:paraId="0BBC2595" w14:textId="77777777" w:rsidR="0091500F" w:rsidRPr="00F95E53" w:rsidRDefault="0091500F" w:rsidP="00BB2E32">
      <w:pPr>
        <w:rPr>
          <w:sz w:val="22"/>
          <w:szCs w:val="22"/>
          <w:lang w:val="en-AU"/>
        </w:rPr>
      </w:pPr>
    </w:p>
    <w:p w14:paraId="6266B8F8"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s-ES"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fldChar w:fldCharType="begin" w:fldLock="1"/>
      </w:r>
      <w:r w:rsidRPr="0029212B">
        <w:rPr>
          <w:rFonts w:ascii="Times New Roman" w:eastAsiaTheme="minorHAnsi" w:hAnsi="Times New Roman" w:cs="Times New Roman"/>
          <w:noProof/>
          <w:kern w:val="2"/>
          <w:sz w:val="22"/>
          <w:szCs w:val="22"/>
          <w:lang w:val="en-AU" w:eastAsia="en-US"/>
          <w14:ligatures w14:val="standardContextual"/>
        </w:rPr>
        <w:instrText>ADDIN paperpile_bibliography &lt;pp-bibliography&gt;&lt;first-reference-indices&gt;&lt;formatting&gt;1&lt;/formatting&gt;&lt;space-after&gt;1&lt;/space-after&gt;&lt;/first-reference-indices&gt;&lt;/pp-bibliography&gt; \* MERGEFORMAT</w:instrText>
      </w:r>
      <w:r w:rsidRPr="0029212B">
        <w:rPr>
          <w:rFonts w:ascii="Times New Roman" w:eastAsiaTheme="minorHAnsi" w:hAnsi="Times New Roman" w:cs="Times New Roman"/>
          <w:noProof/>
          <w:kern w:val="2"/>
          <w:sz w:val="22"/>
          <w:szCs w:val="22"/>
          <w:lang w:val="en-AU" w:eastAsia="en-US"/>
          <w14:ligatures w14:val="standardContextual"/>
        </w:rPr>
        <w:fldChar w:fldCharType="separate"/>
      </w:r>
      <w:r w:rsidRPr="0029212B">
        <w:rPr>
          <w:rFonts w:ascii="Times New Roman" w:eastAsiaTheme="minorHAnsi" w:hAnsi="Times New Roman" w:cs="Times New Roman"/>
          <w:noProof/>
          <w:kern w:val="2"/>
          <w:sz w:val="22"/>
          <w:szCs w:val="22"/>
          <w:lang w:val="en-AU" w:eastAsia="en-US"/>
          <w14:ligatures w14:val="standardContextual"/>
        </w:rPr>
        <w:t xml:space="preserve">Ahopelto, L., Sojamo, S., Belinskij, A., Soininen, N., &amp; Keskinen, M. (2024). Water governance for water security: analysing institutional strengths and challenges in Finland. </w:t>
      </w:r>
      <w:r w:rsidRPr="0029212B">
        <w:rPr>
          <w:rFonts w:ascii="Times New Roman" w:eastAsiaTheme="minorHAnsi" w:hAnsi="Times New Roman" w:cs="Times New Roman"/>
          <w:i/>
          <w:noProof/>
          <w:kern w:val="2"/>
          <w:sz w:val="22"/>
          <w:szCs w:val="22"/>
          <w:lang w:val="es-ES" w:eastAsia="en-US"/>
          <w14:ligatures w14:val="standardContextual"/>
        </w:rPr>
        <w:t>International Journal of Water Resources Development</w:t>
      </w:r>
      <w:r w:rsidRPr="0029212B">
        <w:rPr>
          <w:rFonts w:ascii="Times New Roman" w:eastAsiaTheme="minorHAnsi" w:hAnsi="Times New Roman" w:cs="Times New Roman"/>
          <w:noProof/>
          <w:kern w:val="2"/>
          <w:sz w:val="22"/>
          <w:szCs w:val="22"/>
          <w:lang w:val="es-ES" w:eastAsia="en-US"/>
          <w14:ligatures w14:val="standardContextual"/>
        </w:rPr>
        <w:t xml:space="preserve">, </w:t>
      </w:r>
      <w:r w:rsidRPr="0029212B">
        <w:rPr>
          <w:rFonts w:ascii="Times New Roman" w:eastAsiaTheme="minorHAnsi" w:hAnsi="Times New Roman" w:cs="Times New Roman"/>
          <w:i/>
          <w:noProof/>
          <w:kern w:val="2"/>
          <w:sz w:val="22"/>
          <w:szCs w:val="22"/>
          <w:lang w:val="es-ES" w:eastAsia="en-US"/>
          <w14:ligatures w14:val="standardContextual"/>
        </w:rPr>
        <w:t>40</w:t>
      </w:r>
      <w:r w:rsidRPr="0029212B">
        <w:rPr>
          <w:rFonts w:ascii="Times New Roman" w:eastAsiaTheme="minorHAnsi" w:hAnsi="Times New Roman" w:cs="Times New Roman"/>
          <w:noProof/>
          <w:kern w:val="2"/>
          <w:sz w:val="22"/>
          <w:szCs w:val="22"/>
          <w:lang w:val="es-ES" w:eastAsia="en-US"/>
          <w14:ligatures w14:val="standardContextual"/>
        </w:rPr>
        <w:t>(2), 153–173.</w:t>
      </w:r>
    </w:p>
    <w:p w14:paraId="19D2E381"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s-ES" w:eastAsia="en-US"/>
          <w14:ligatures w14:val="standardContextual"/>
        </w:rPr>
      </w:pPr>
      <w:r w:rsidRPr="0029212B">
        <w:rPr>
          <w:rFonts w:ascii="Times New Roman" w:eastAsiaTheme="minorHAnsi" w:hAnsi="Times New Roman" w:cs="Times New Roman"/>
          <w:noProof/>
          <w:kern w:val="2"/>
          <w:sz w:val="22"/>
          <w:szCs w:val="22"/>
          <w:lang w:val="es-ES" w:eastAsia="en-US"/>
          <w14:ligatures w14:val="standardContextual"/>
        </w:rPr>
        <w:t xml:space="preserve">Aranda Valenzuela, P. (2021). El nuevo marco regulador de los servicios sanitarios rurales Ley N° 20.998, a través del lente de la gestión integrada de los recursos hídricos. In </w:t>
      </w:r>
      <w:r w:rsidRPr="0029212B">
        <w:rPr>
          <w:rFonts w:ascii="Times New Roman" w:eastAsiaTheme="minorHAnsi" w:hAnsi="Times New Roman" w:cs="Times New Roman"/>
          <w:i/>
          <w:noProof/>
          <w:kern w:val="2"/>
          <w:sz w:val="22"/>
          <w:szCs w:val="22"/>
          <w:lang w:val="es-ES" w:eastAsia="en-US"/>
          <w14:ligatures w14:val="standardContextual"/>
        </w:rPr>
        <w:t>Actas de las III Jornadas del régimen jurídico de las aguas, Universidad de Chile</w:t>
      </w:r>
      <w:r w:rsidRPr="0029212B">
        <w:rPr>
          <w:rFonts w:ascii="Times New Roman" w:eastAsiaTheme="minorHAnsi" w:hAnsi="Times New Roman" w:cs="Times New Roman"/>
          <w:noProof/>
          <w:kern w:val="2"/>
          <w:sz w:val="22"/>
          <w:szCs w:val="22"/>
          <w:lang w:val="es-ES" w:eastAsia="en-US"/>
          <w14:ligatures w14:val="standardContextual"/>
        </w:rPr>
        <w:t xml:space="preserve"> (pp. 158–187). 2021.</w:t>
      </w:r>
    </w:p>
    <w:p w14:paraId="5A36E3BF"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Ballestero, A. (2019). </w:t>
      </w:r>
      <w:r w:rsidRPr="0029212B">
        <w:rPr>
          <w:rFonts w:ascii="Times New Roman" w:eastAsiaTheme="minorHAnsi" w:hAnsi="Times New Roman" w:cs="Times New Roman"/>
          <w:i/>
          <w:noProof/>
          <w:kern w:val="2"/>
          <w:sz w:val="22"/>
          <w:szCs w:val="22"/>
          <w:lang w:val="en-AU" w:eastAsia="en-US"/>
          <w14:ligatures w14:val="standardContextual"/>
        </w:rPr>
        <w:t>A future history of water</w:t>
      </w:r>
      <w:r w:rsidRPr="0029212B">
        <w:rPr>
          <w:rFonts w:ascii="Times New Roman" w:eastAsiaTheme="minorHAnsi" w:hAnsi="Times New Roman" w:cs="Times New Roman"/>
          <w:noProof/>
          <w:kern w:val="2"/>
          <w:sz w:val="22"/>
          <w:szCs w:val="22"/>
          <w:lang w:val="en-AU" w:eastAsia="en-US"/>
          <w14:ligatures w14:val="standardContextual"/>
        </w:rPr>
        <w:t>. Duke University Press.</w:t>
      </w:r>
    </w:p>
    <w:p w14:paraId="06CBFE17"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Boelens, R., Escobar, A., Bakker, K., Hommes, L., Swyngedouw, E., Hogenboom, B., Huijbens, E. H., Jackson, S., Vos, J., Harris, L. M., Joy, K. J., de Castro, F., Duarte-Abadía, B., Tubino de Souza, D., Lotz-Sisitka, H., Hernández-Mora, N., Martínez-Alier, J., Roca-Servat, D., Perreault, T., … Wantzen, K. M. (2023). Riverhood: political ecologies of socionature commoning and translocal struggles for water justice. </w:t>
      </w:r>
      <w:r w:rsidRPr="0029212B">
        <w:rPr>
          <w:rFonts w:ascii="Times New Roman" w:eastAsiaTheme="minorHAnsi" w:hAnsi="Times New Roman" w:cs="Times New Roman"/>
          <w:i/>
          <w:noProof/>
          <w:kern w:val="2"/>
          <w:sz w:val="22"/>
          <w:szCs w:val="22"/>
          <w:lang w:val="en-AU" w:eastAsia="en-US"/>
          <w14:ligatures w14:val="standardContextual"/>
        </w:rPr>
        <w:t>The Journal of Peasant Studies</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50</w:t>
      </w:r>
      <w:r w:rsidRPr="0029212B">
        <w:rPr>
          <w:rFonts w:ascii="Times New Roman" w:eastAsiaTheme="minorHAnsi" w:hAnsi="Times New Roman" w:cs="Times New Roman"/>
          <w:noProof/>
          <w:kern w:val="2"/>
          <w:sz w:val="22"/>
          <w:szCs w:val="22"/>
          <w:lang w:val="en-AU" w:eastAsia="en-US"/>
          <w14:ligatures w14:val="standardContextual"/>
        </w:rPr>
        <w:t>(3), 1125–1156.</w:t>
      </w:r>
    </w:p>
    <w:p w14:paraId="5ADF7AD1"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Boelens, R., Hoogesteger, J., Swyngedouw, E., Vos, J., &amp; Wester, P. (2016). Hydrosocial territories: a political ecology perspective. </w:t>
      </w:r>
      <w:r w:rsidRPr="0029212B">
        <w:rPr>
          <w:rFonts w:ascii="Times New Roman" w:eastAsiaTheme="minorHAnsi" w:hAnsi="Times New Roman" w:cs="Times New Roman"/>
          <w:i/>
          <w:noProof/>
          <w:kern w:val="2"/>
          <w:sz w:val="22"/>
          <w:szCs w:val="22"/>
          <w:lang w:val="en-AU" w:eastAsia="en-US"/>
          <w14:ligatures w14:val="standardContextual"/>
        </w:rPr>
        <w:t>Water International</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41</w:t>
      </w:r>
      <w:r w:rsidRPr="0029212B">
        <w:rPr>
          <w:rFonts w:ascii="Times New Roman" w:eastAsiaTheme="minorHAnsi" w:hAnsi="Times New Roman" w:cs="Times New Roman"/>
          <w:noProof/>
          <w:kern w:val="2"/>
          <w:sz w:val="22"/>
          <w:szCs w:val="22"/>
          <w:lang w:val="en-AU" w:eastAsia="en-US"/>
          <w14:ligatures w14:val="standardContextual"/>
        </w:rPr>
        <w:t>(1), 1–14.</w:t>
      </w:r>
    </w:p>
    <w:p w14:paraId="6829E07C"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s-ES" w:eastAsia="en-US"/>
          <w14:ligatures w14:val="standardContextual"/>
        </w:rPr>
        <w:t xml:space="preserve">Duarte Abadía, B., Yacoub, C., &amp; Hoogesteger, J. (2017). </w:t>
      </w:r>
      <w:r w:rsidRPr="0029212B">
        <w:rPr>
          <w:rFonts w:ascii="Times New Roman" w:eastAsiaTheme="minorHAnsi" w:hAnsi="Times New Roman" w:cs="Times New Roman"/>
          <w:i/>
          <w:noProof/>
          <w:kern w:val="2"/>
          <w:sz w:val="22"/>
          <w:szCs w:val="22"/>
          <w:lang w:val="es-ES" w:eastAsia="en-US"/>
          <w14:ligatures w14:val="standardContextual"/>
        </w:rPr>
        <w:t>Gobernanza del agua: Una mirada desde la ecología política y la justicia hídrica</w:t>
      </w:r>
      <w:r w:rsidRPr="0029212B">
        <w:rPr>
          <w:rFonts w:ascii="Times New Roman" w:eastAsiaTheme="minorHAnsi" w:hAnsi="Times New Roman" w:cs="Times New Roman"/>
          <w:noProof/>
          <w:kern w:val="2"/>
          <w:sz w:val="22"/>
          <w:szCs w:val="22"/>
          <w:lang w:val="es-ES" w:eastAsia="en-US"/>
          <w14:ligatures w14:val="standardContextual"/>
        </w:rPr>
        <w:t xml:space="preserve">. </w:t>
      </w:r>
      <w:r w:rsidRPr="0029212B">
        <w:rPr>
          <w:rFonts w:ascii="Times New Roman" w:eastAsiaTheme="minorHAnsi" w:hAnsi="Times New Roman" w:cs="Times New Roman"/>
          <w:noProof/>
          <w:kern w:val="2"/>
          <w:sz w:val="22"/>
          <w:szCs w:val="22"/>
          <w:lang w:val="en-AU" w:eastAsia="en-US"/>
          <w14:ligatures w14:val="standardContextual"/>
        </w:rPr>
        <w:t>Editorial Abya - Yala.</w:t>
      </w:r>
    </w:p>
    <w:p w14:paraId="0F6B18B6"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s-ES" w:eastAsia="en-US"/>
          <w14:ligatures w14:val="standardContextual"/>
        </w:rPr>
        <w:lastRenderedPageBreak/>
        <w:t xml:space="preserve">Garreaud, R., Boisier, J., Rondanelli, R., Montecinos, A., Sepúlveda, H., &amp; Veloso‐Aguila, D. (2020). </w:t>
      </w:r>
      <w:r w:rsidRPr="0029212B">
        <w:rPr>
          <w:rFonts w:ascii="Times New Roman" w:eastAsiaTheme="minorHAnsi" w:hAnsi="Times New Roman" w:cs="Times New Roman"/>
          <w:noProof/>
          <w:kern w:val="2"/>
          <w:sz w:val="22"/>
          <w:szCs w:val="22"/>
          <w:lang w:val="en-AU" w:eastAsia="en-US"/>
          <w14:ligatures w14:val="standardContextual"/>
        </w:rPr>
        <w:t xml:space="preserve">The Central Chile Mega Drought (2010–2018): A climate dynamics perspective. </w:t>
      </w:r>
      <w:r w:rsidRPr="0029212B">
        <w:rPr>
          <w:rFonts w:ascii="Times New Roman" w:eastAsiaTheme="minorHAnsi" w:hAnsi="Times New Roman" w:cs="Times New Roman"/>
          <w:i/>
          <w:noProof/>
          <w:kern w:val="2"/>
          <w:sz w:val="22"/>
          <w:szCs w:val="22"/>
          <w:lang w:val="en-AU" w:eastAsia="en-US"/>
          <w14:ligatures w14:val="standardContextual"/>
        </w:rPr>
        <w:t>International Journal of Climatology: A Journal of the Royal Meteorological Society</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40</w:t>
      </w:r>
      <w:r w:rsidRPr="0029212B">
        <w:rPr>
          <w:rFonts w:ascii="Times New Roman" w:eastAsiaTheme="minorHAnsi" w:hAnsi="Times New Roman" w:cs="Times New Roman"/>
          <w:noProof/>
          <w:kern w:val="2"/>
          <w:sz w:val="22"/>
          <w:szCs w:val="22"/>
          <w:lang w:val="en-AU" w:eastAsia="en-US"/>
          <w14:ligatures w14:val="standardContextual"/>
        </w:rPr>
        <w:t>(1), 421–439.</w:t>
      </w:r>
    </w:p>
    <w:p w14:paraId="3A209DBF"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Keeffe, J., Buytaert, W., Mijic, A., Brozović, N., &amp; Sinha, R. (2016). The use of semi-structured interviews for the characterisation of farmer irrigation practices. </w:t>
      </w:r>
      <w:r w:rsidRPr="0029212B">
        <w:rPr>
          <w:rFonts w:ascii="Times New Roman" w:eastAsiaTheme="minorHAnsi" w:hAnsi="Times New Roman" w:cs="Times New Roman"/>
          <w:i/>
          <w:noProof/>
          <w:kern w:val="2"/>
          <w:sz w:val="22"/>
          <w:szCs w:val="22"/>
          <w:lang w:val="en-AU" w:eastAsia="en-US"/>
          <w14:ligatures w14:val="standardContextual"/>
        </w:rPr>
        <w:t>Hydrology and Earth System Sciences</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20</w:t>
      </w:r>
      <w:r w:rsidRPr="0029212B">
        <w:rPr>
          <w:rFonts w:ascii="Times New Roman" w:eastAsiaTheme="minorHAnsi" w:hAnsi="Times New Roman" w:cs="Times New Roman"/>
          <w:noProof/>
          <w:kern w:val="2"/>
          <w:sz w:val="22"/>
          <w:szCs w:val="22"/>
          <w:lang w:val="en-AU" w:eastAsia="en-US"/>
          <w14:ligatures w14:val="standardContextual"/>
        </w:rPr>
        <w:t>(5), 1911–1924.</w:t>
      </w:r>
    </w:p>
    <w:p w14:paraId="105077D0"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Leech, N., &amp; Onwuegbuzie, A. (2007). An array of qualitative data analysis tools: A call for data analysis triangulation. </w:t>
      </w:r>
      <w:r w:rsidRPr="0029212B">
        <w:rPr>
          <w:rFonts w:ascii="Times New Roman" w:eastAsiaTheme="minorHAnsi" w:hAnsi="Times New Roman" w:cs="Times New Roman"/>
          <w:i/>
          <w:noProof/>
          <w:kern w:val="2"/>
          <w:sz w:val="22"/>
          <w:szCs w:val="22"/>
          <w:lang w:val="en-AU" w:eastAsia="en-US"/>
          <w14:ligatures w14:val="standardContextual"/>
        </w:rPr>
        <w:t>School Psychology Quarterly</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22</w:t>
      </w:r>
      <w:r w:rsidRPr="0029212B">
        <w:rPr>
          <w:rFonts w:ascii="Times New Roman" w:eastAsiaTheme="minorHAnsi" w:hAnsi="Times New Roman" w:cs="Times New Roman"/>
          <w:noProof/>
          <w:kern w:val="2"/>
          <w:sz w:val="22"/>
          <w:szCs w:val="22"/>
          <w:lang w:val="en-AU" w:eastAsia="en-US"/>
          <w14:ligatures w14:val="standardContextual"/>
        </w:rPr>
        <w:t>, 557–584.</w:t>
      </w:r>
    </w:p>
    <w:p w14:paraId="003A1F9D" w14:textId="500156D6"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Loftus, A. (2009). Rethinking political ecologies of water. </w:t>
      </w:r>
      <w:r w:rsidRPr="0029212B">
        <w:rPr>
          <w:rFonts w:ascii="Times New Roman" w:eastAsiaTheme="minorHAnsi" w:hAnsi="Times New Roman" w:cs="Times New Roman"/>
          <w:i/>
          <w:noProof/>
          <w:kern w:val="2"/>
          <w:sz w:val="22"/>
          <w:szCs w:val="22"/>
          <w:lang w:val="en-AU" w:eastAsia="en-US"/>
          <w14:ligatures w14:val="standardContextual"/>
        </w:rPr>
        <w:t>Third World Quarterly</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30</w:t>
      </w:r>
      <w:r w:rsidRPr="0029212B">
        <w:rPr>
          <w:rFonts w:ascii="Times New Roman" w:eastAsiaTheme="minorHAnsi" w:hAnsi="Times New Roman" w:cs="Times New Roman"/>
          <w:noProof/>
          <w:kern w:val="2"/>
          <w:sz w:val="22"/>
          <w:szCs w:val="22"/>
          <w:lang w:val="en-AU" w:eastAsia="en-US"/>
          <w14:ligatures w14:val="standardContextual"/>
        </w:rPr>
        <w:t>(5), 953–968.</w:t>
      </w:r>
    </w:p>
    <w:p w14:paraId="50DB8AB3"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Louka, E. (2008). </w:t>
      </w:r>
      <w:r w:rsidRPr="0029212B">
        <w:rPr>
          <w:rFonts w:ascii="Times New Roman" w:eastAsiaTheme="minorHAnsi" w:hAnsi="Times New Roman" w:cs="Times New Roman"/>
          <w:i/>
          <w:noProof/>
          <w:kern w:val="2"/>
          <w:sz w:val="22"/>
          <w:szCs w:val="22"/>
          <w:lang w:val="en-AU" w:eastAsia="en-US"/>
          <w14:ligatures w14:val="standardContextual"/>
        </w:rPr>
        <w:t>Water law and policy: Governance without frontiers</w:t>
      </w:r>
      <w:r w:rsidRPr="0029212B">
        <w:rPr>
          <w:rFonts w:ascii="Times New Roman" w:eastAsiaTheme="minorHAnsi" w:hAnsi="Times New Roman" w:cs="Times New Roman"/>
          <w:noProof/>
          <w:kern w:val="2"/>
          <w:sz w:val="22"/>
          <w:szCs w:val="22"/>
          <w:lang w:val="en-AU" w:eastAsia="en-US"/>
          <w14:ligatures w14:val="standardContextual"/>
        </w:rPr>
        <w:t>. Oxford University Press.</w:t>
      </w:r>
    </w:p>
    <w:p w14:paraId="7048F798" w14:textId="77995818" w:rsidR="0029212B" w:rsidRPr="0029212B" w:rsidRDefault="0029212B" w:rsidP="00C04C90">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Muehlebach, A. (2023). </w:t>
      </w:r>
      <w:r w:rsidRPr="0029212B">
        <w:rPr>
          <w:rFonts w:ascii="Times New Roman" w:eastAsiaTheme="minorHAnsi" w:hAnsi="Times New Roman" w:cs="Times New Roman"/>
          <w:i/>
          <w:noProof/>
          <w:kern w:val="2"/>
          <w:sz w:val="22"/>
          <w:szCs w:val="22"/>
          <w:lang w:val="en-AU" w:eastAsia="en-US"/>
          <w14:ligatures w14:val="standardContextual"/>
        </w:rPr>
        <w:t>A vital frontier: Water insurgencies in Europe (p. 269). Duke University Press</w:t>
      </w:r>
      <w:r w:rsidRPr="0029212B">
        <w:rPr>
          <w:rFonts w:ascii="Times New Roman" w:eastAsiaTheme="minorHAnsi" w:hAnsi="Times New Roman" w:cs="Times New Roman"/>
          <w:noProof/>
          <w:kern w:val="2"/>
          <w:sz w:val="22"/>
          <w:szCs w:val="22"/>
          <w:lang w:val="en-AU" w:eastAsia="en-US"/>
          <w14:ligatures w14:val="standardContextual"/>
        </w:rPr>
        <w:t>. library.oapen.org.</w:t>
      </w:r>
    </w:p>
    <w:p w14:paraId="17315C39"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s-ES"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Pink, S., &amp; Morgan, J. (2013). Short‐term ethnography: Intense routes to knowing: Short-term ethnography. </w:t>
      </w:r>
      <w:r w:rsidRPr="0029212B">
        <w:rPr>
          <w:rFonts w:ascii="Times New Roman" w:eastAsiaTheme="minorHAnsi" w:hAnsi="Times New Roman" w:cs="Times New Roman"/>
          <w:i/>
          <w:noProof/>
          <w:kern w:val="2"/>
          <w:sz w:val="22"/>
          <w:szCs w:val="22"/>
          <w:lang w:val="es-ES" w:eastAsia="en-US"/>
          <w14:ligatures w14:val="standardContextual"/>
        </w:rPr>
        <w:t>Symbolic Interaction</w:t>
      </w:r>
      <w:r w:rsidRPr="0029212B">
        <w:rPr>
          <w:rFonts w:ascii="Times New Roman" w:eastAsiaTheme="minorHAnsi" w:hAnsi="Times New Roman" w:cs="Times New Roman"/>
          <w:noProof/>
          <w:kern w:val="2"/>
          <w:sz w:val="22"/>
          <w:szCs w:val="22"/>
          <w:lang w:val="es-ES" w:eastAsia="en-US"/>
          <w14:ligatures w14:val="standardContextual"/>
        </w:rPr>
        <w:t xml:space="preserve">, </w:t>
      </w:r>
      <w:r w:rsidRPr="0029212B">
        <w:rPr>
          <w:rFonts w:ascii="Times New Roman" w:eastAsiaTheme="minorHAnsi" w:hAnsi="Times New Roman" w:cs="Times New Roman"/>
          <w:i/>
          <w:noProof/>
          <w:kern w:val="2"/>
          <w:sz w:val="22"/>
          <w:szCs w:val="22"/>
          <w:lang w:val="es-ES" w:eastAsia="en-US"/>
          <w14:ligatures w14:val="standardContextual"/>
        </w:rPr>
        <w:t>36</w:t>
      </w:r>
      <w:r w:rsidRPr="0029212B">
        <w:rPr>
          <w:rFonts w:ascii="Times New Roman" w:eastAsiaTheme="minorHAnsi" w:hAnsi="Times New Roman" w:cs="Times New Roman"/>
          <w:noProof/>
          <w:kern w:val="2"/>
          <w:sz w:val="22"/>
          <w:szCs w:val="22"/>
          <w:lang w:val="es-ES" w:eastAsia="en-US"/>
          <w14:ligatures w14:val="standardContextual"/>
        </w:rPr>
        <w:t>(3), 351–361.</w:t>
      </w:r>
    </w:p>
    <w:p w14:paraId="2AC84901" w14:textId="77777777" w:rsidR="00376DE8" w:rsidRDefault="0029212B" w:rsidP="006F77CC">
      <w:pPr>
        <w:spacing w:line="480" w:lineRule="auto"/>
        <w:ind w:left="720" w:hanging="720"/>
        <w:jc w:val="both"/>
        <w:rPr>
          <w:rFonts w:ascii="Times New Roman" w:eastAsiaTheme="minorHAnsi" w:hAnsi="Times New Roman" w:cs="Times New Roman"/>
          <w:noProof/>
          <w:kern w:val="2"/>
          <w:sz w:val="22"/>
          <w:szCs w:val="22"/>
          <w:lang w:val="es-ES" w:eastAsia="en-US"/>
          <w14:ligatures w14:val="standardContextual"/>
        </w:rPr>
      </w:pPr>
      <w:r w:rsidRPr="0029212B">
        <w:rPr>
          <w:rFonts w:ascii="Times New Roman" w:eastAsiaTheme="minorHAnsi" w:hAnsi="Times New Roman" w:cs="Times New Roman"/>
          <w:noProof/>
          <w:kern w:val="2"/>
          <w:sz w:val="22"/>
          <w:szCs w:val="22"/>
          <w:lang w:val="es-ES" w:eastAsia="en-US"/>
          <w14:ligatures w14:val="standardContextual"/>
        </w:rPr>
        <w:t xml:space="preserve">Sanchis Ibor, C., &amp; Boelens, R. (2018). GOBERNANZA DEL AGUA Y TERRITORIOS HIDROSOCIALES: DEL ANÁLISIS INSTITUCIONAL A LA ECOLOGÍA POLÍTICA. </w:t>
      </w:r>
    </w:p>
    <w:p w14:paraId="4204BEBB" w14:textId="40702F02" w:rsidR="0029212B" w:rsidRPr="0029212B" w:rsidRDefault="0029212B" w:rsidP="006F77CC">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Seim, J. (2024). Participant Observation, Observant Participation, and Hybrid Ethnography. </w:t>
      </w:r>
      <w:r w:rsidRPr="0029212B">
        <w:rPr>
          <w:rFonts w:ascii="Times New Roman" w:eastAsiaTheme="minorHAnsi" w:hAnsi="Times New Roman" w:cs="Times New Roman"/>
          <w:i/>
          <w:noProof/>
          <w:kern w:val="2"/>
          <w:sz w:val="22"/>
          <w:szCs w:val="22"/>
          <w:lang w:val="en-AU" w:eastAsia="en-US"/>
          <w14:ligatures w14:val="standardContextual"/>
        </w:rPr>
        <w:t>Sociological Methods &amp; Research</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53</w:t>
      </w:r>
      <w:r w:rsidRPr="0029212B">
        <w:rPr>
          <w:rFonts w:ascii="Times New Roman" w:eastAsiaTheme="minorHAnsi" w:hAnsi="Times New Roman" w:cs="Times New Roman"/>
          <w:noProof/>
          <w:kern w:val="2"/>
          <w:sz w:val="22"/>
          <w:szCs w:val="22"/>
          <w:lang w:val="en-AU" w:eastAsia="en-US"/>
          <w14:ligatures w14:val="standardContextual"/>
        </w:rPr>
        <w:t>(1), 121–152.</w:t>
      </w:r>
    </w:p>
    <w:p w14:paraId="4B15D36A"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Soininen, N., Belinskij, A., &amp; Puharinen, S.-T. (2023). Water law. </w:t>
      </w:r>
      <w:r w:rsidRPr="0029212B">
        <w:rPr>
          <w:rFonts w:ascii="Times New Roman" w:eastAsiaTheme="minorHAnsi" w:hAnsi="Times New Roman" w:cs="Times New Roman"/>
          <w:i/>
          <w:noProof/>
          <w:kern w:val="2"/>
          <w:sz w:val="22"/>
          <w:szCs w:val="22"/>
          <w:lang w:val="en-AU" w:eastAsia="en-US"/>
          <w14:ligatures w14:val="standardContextual"/>
        </w:rPr>
        <w:t>Water</w:t>
      </w:r>
      <w:r w:rsidRPr="0029212B">
        <w:rPr>
          <w:rFonts w:ascii="Times New Roman" w:eastAsiaTheme="minorHAnsi" w:hAnsi="Times New Roman" w:cs="Times New Roman"/>
          <w:noProof/>
          <w:kern w:val="2"/>
          <w:sz w:val="22"/>
          <w:szCs w:val="22"/>
          <w:lang w:val="en-AU" w:eastAsia="en-US"/>
          <w14:ligatures w14:val="standardContextual"/>
        </w:rPr>
        <w:t>. https://doi.org/10.1017/wat.2023.13</w:t>
      </w:r>
    </w:p>
    <w:p w14:paraId="6B46A6CA"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Tyler, T. (2017). Methodology in Legal Research. </w:t>
      </w:r>
      <w:r w:rsidRPr="0029212B">
        <w:rPr>
          <w:rFonts w:ascii="Times New Roman" w:eastAsiaTheme="minorHAnsi" w:hAnsi="Times New Roman" w:cs="Times New Roman"/>
          <w:i/>
          <w:noProof/>
          <w:kern w:val="2"/>
          <w:sz w:val="22"/>
          <w:szCs w:val="22"/>
          <w:lang w:val="en-AU" w:eastAsia="en-US"/>
          <w14:ligatures w14:val="standardContextual"/>
        </w:rPr>
        <w:t>Utrecht Law Review</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13</w:t>
      </w:r>
      <w:r w:rsidRPr="0029212B">
        <w:rPr>
          <w:rFonts w:ascii="Times New Roman" w:eastAsiaTheme="minorHAnsi" w:hAnsi="Times New Roman" w:cs="Times New Roman"/>
          <w:noProof/>
          <w:kern w:val="2"/>
          <w:sz w:val="22"/>
          <w:szCs w:val="22"/>
          <w:lang w:val="en-AU" w:eastAsia="en-US"/>
          <w14:ligatures w14:val="standardContextual"/>
        </w:rPr>
        <w:t>, 130–141.</w:t>
      </w:r>
    </w:p>
    <w:p w14:paraId="107971F2"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van Hulst, M., Metze, T., Dewulf, A., de Vries, J., van Bommel, S., &amp; van Ostaijen, M. (2024). Discourse, framing and narrative: three ways of doing critical, interpretive policy analysis. </w:t>
      </w:r>
      <w:r w:rsidRPr="0029212B">
        <w:rPr>
          <w:rFonts w:ascii="Times New Roman" w:eastAsiaTheme="minorHAnsi" w:hAnsi="Times New Roman" w:cs="Times New Roman"/>
          <w:i/>
          <w:noProof/>
          <w:kern w:val="2"/>
          <w:sz w:val="22"/>
          <w:szCs w:val="22"/>
          <w:lang w:val="en-AU" w:eastAsia="en-US"/>
          <w14:ligatures w14:val="standardContextual"/>
        </w:rPr>
        <w:t>Critical Policy Studies</w:t>
      </w:r>
      <w:r w:rsidRPr="0029212B">
        <w:rPr>
          <w:rFonts w:ascii="Times New Roman" w:eastAsiaTheme="minorHAnsi" w:hAnsi="Times New Roman" w:cs="Times New Roman"/>
          <w:noProof/>
          <w:kern w:val="2"/>
          <w:sz w:val="22"/>
          <w:szCs w:val="22"/>
          <w:lang w:val="en-AU" w:eastAsia="en-US"/>
          <w14:ligatures w14:val="standardContextual"/>
        </w:rPr>
        <w:t>, 1–23.</w:t>
      </w:r>
    </w:p>
    <w:p w14:paraId="1E150D62" w14:textId="77777777" w:rsidR="0029212B" w:rsidRPr="0029212B" w:rsidRDefault="0029212B" w:rsidP="0029212B">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t xml:space="preserve">Vindrola-Padros, C. (2021). </w:t>
      </w:r>
      <w:r w:rsidRPr="0029212B">
        <w:rPr>
          <w:rFonts w:ascii="Times New Roman" w:eastAsiaTheme="minorHAnsi" w:hAnsi="Times New Roman" w:cs="Times New Roman"/>
          <w:i/>
          <w:noProof/>
          <w:kern w:val="2"/>
          <w:sz w:val="22"/>
          <w:szCs w:val="22"/>
          <w:lang w:val="en-AU" w:eastAsia="en-US"/>
          <w14:ligatures w14:val="standardContextual"/>
        </w:rPr>
        <w:t>Rapid Ethnographies: A Practical Guide</w:t>
      </w:r>
      <w:r w:rsidRPr="0029212B">
        <w:rPr>
          <w:rFonts w:ascii="Times New Roman" w:eastAsiaTheme="minorHAnsi" w:hAnsi="Times New Roman" w:cs="Times New Roman"/>
          <w:noProof/>
          <w:kern w:val="2"/>
          <w:sz w:val="22"/>
          <w:szCs w:val="22"/>
          <w:lang w:val="en-AU" w:eastAsia="en-US"/>
          <w14:ligatures w14:val="standardContextual"/>
        </w:rPr>
        <w:t>. Cambridge University Press.</w:t>
      </w:r>
    </w:p>
    <w:p w14:paraId="6347D529" w14:textId="6D1B3915" w:rsidR="00E9119A" w:rsidRPr="00F95E53" w:rsidRDefault="0029212B" w:rsidP="00C04C90">
      <w:pPr>
        <w:spacing w:line="480" w:lineRule="auto"/>
        <w:ind w:left="720" w:hanging="720"/>
        <w:jc w:val="both"/>
        <w:rPr>
          <w:rFonts w:ascii="Times New Roman" w:eastAsiaTheme="minorHAnsi" w:hAnsi="Times New Roman" w:cs="Times New Roman"/>
          <w:noProof/>
          <w:kern w:val="2"/>
          <w:sz w:val="22"/>
          <w:szCs w:val="22"/>
          <w:lang w:val="en-AU" w:eastAsia="en-US"/>
          <w14:ligatures w14:val="standardContextual"/>
        </w:rPr>
      </w:pPr>
      <w:r w:rsidRPr="0029212B">
        <w:rPr>
          <w:rFonts w:ascii="Times New Roman" w:eastAsiaTheme="minorHAnsi" w:hAnsi="Times New Roman" w:cs="Times New Roman"/>
          <w:noProof/>
          <w:kern w:val="2"/>
          <w:sz w:val="22"/>
          <w:szCs w:val="22"/>
          <w:lang w:val="en-AU" w:eastAsia="en-US"/>
          <w14:ligatures w14:val="standardContextual"/>
        </w:rPr>
        <w:lastRenderedPageBreak/>
        <w:t xml:space="preserve">Whaley, L. (2022). Water governance research in a messy world: A review. </w:t>
      </w:r>
      <w:r w:rsidRPr="0029212B">
        <w:rPr>
          <w:rFonts w:ascii="Times New Roman" w:eastAsiaTheme="minorHAnsi" w:hAnsi="Times New Roman" w:cs="Times New Roman"/>
          <w:i/>
          <w:noProof/>
          <w:kern w:val="2"/>
          <w:sz w:val="22"/>
          <w:szCs w:val="22"/>
          <w:lang w:val="en-AU" w:eastAsia="en-US"/>
          <w14:ligatures w14:val="standardContextual"/>
        </w:rPr>
        <w:t>Water Alternatives</w:t>
      </w:r>
      <w:r w:rsidRPr="0029212B">
        <w:rPr>
          <w:rFonts w:ascii="Times New Roman" w:eastAsiaTheme="minorHAnsi" w:hAnsi="Times New Roman" w:cs="Times New Roman"/>
          <w:noProof/>
          <w:kern w:val="2"/>
          <w:sz w:val="22"/>
          <w:szCs w:val="22"/>
          <w:lang w:val="en-AU" w:eastAsia="en-US"/>
          <w14:ligatures w14:val="standardContextual"/>
        </w:rPr>
        <w:t xml:space="preserve">, </w:t>
      </w:r>
      <w:r w:rsidRPr="0029212B">
        <w:rPr>
          <w:rFonts w:ascii="Times New Roman" w:eastAsiaTheme="minorHAnsi" w:hAnsi="Times New Roman" w:cs="Times New Roman"/>
          <w:i/>
          <w:noProof/>
          <w:kern w:val="2"/>
          <w:sz w:val="22"/>
          <w:szCs w:val="22"/>
          <w:lang w:val="en-AU" w:eastAsia="en-US"/>
          <w14:ligatures w14:val="standardContextual"/>
        </w:rPr>
        <w:t>15</w:t>
      </w:r>
      <w:r w:rsidRPr="0029212B">
        <w:rPr>
          <w:rFonts w:ascii="Times New Roman" w:eastAsiaTheme="minorHAnsi" w:hAnsi="Times New Roman" w:cs="Times New Roman"/>
          <w:noProof/>
          <w:kern w:val="2"/>
          <w:sz w:val="22"/>
          <w:szCs w:val="22"/>
          <w:lang w:val="en-AU" w:eastAsia="en-US"/>
          <w14:ligatures w14:val="standardContextual"/>
        </w:rPr>
        <w:t>(2), 218–250.</w:t>
      </w:r>
      <w:r w:rsidRPr="0029212B">
        <w:rPr>
          <w:rFonts w:ascii="Times New Roman" w:eastAsiaTheme="minorHAnsi" w:hAnsi="Times New Roman" w:cs="Times New Roman"/>
          <w:noProof/>
          <w:kern w:val="2"/>
          <w:sz w:val="22"/>
          <w:szCs w:val="22"/>
          <w:lang w:val="en-AU" w:eastAsia="en-US"/>
          <w14:ligatures w14:val="standardContextual"/>
        </w:rPr>
        <w:fldChar w:fldCharType="end"/>
      </w:r>
    </w:p>
    <w:sectPr w:rsidR="00E9119A" w:rsidRPr="00F95E53"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A84"/>
    <w:multiLevelType w:val="multilevel"/>
    <w:tmpl w:val="E5488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94D5393"/>
    <w:multiLevelType w:val="multilevel"/>
    <w:tmpl w:val="047C6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37BEA"/>
    <w:multiLevelType w:val="hybridMultilevel"/>
    <w:tmpl w:val="1F92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5"/>
  </w:num>
  <w:num w:numId="3" w16cid:durableId="1316374630">
    <w:abstractNumId w:val="2"/>
  </w:num>
  <w:num w:numId="4" w16cid:durableId="610091242">
    <w:abstractNumId w:val="3"/>
  </w:num>
  <w:num w:numId="5" w16cid:durableId="953173406">
    <w:abstractNumId w:val="0"/>
  </w:num>
  <w:num w:numId="6" w16cid:durableId="1975793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36D7"/>
    <w:rsid w:val="000454E9"/>
    <w:rsid w:val="00066533"/>
    <w:rsid w:val="00070FE5"/>
    <w:rsid w:val="00071636"/>
    <w:rsid w:val="00071D83"/>
    <w:rsid w:val="00105E39"/>
    <w:rsid w:val="00132AE5"/>
    <w:rsid w:val="00141FFA"/>
    <w:rsid w:val="00155315"/>
    <w:rsid w:val="00180262"/>
    <w:rsid w:val="00204576"/>
    <w:rsid w:val="002209EB"/>
    <w:rsid w:val="00227183"/>
    <w:rsid w:val="0024308E"/>
    <w:rsid w:val="00247C60"/>
    <w:rsid w:val="00256963"/>
    <w:rsid w:val="00260A3B"/>
    <w:rsid w:val="0029212B"/>
    <w:rsid w:val="002D0FEF"/>
    <w:rsid w:val="002D6009"/>
    <w:rsid w:val="002E3AA3"/>
    <w:rsid w:val="002E7D7B"/>
    <w:rsid w:val="00303ECD"/>
    <w:rsid w:val="00317356"/>
    <w:rsid w:val="0034503D"/>
    <w:rsid w:val="00354C31"/>
    <w:rsid w:val="0037331F"/>
    <w:rsid w:val="00375B20"/>
    <w:rsid w:val="00376DE8"/>
    <w:rsid w:val="00386D01"/>
    <w:rsid w:val="004049E7"/>
    <w:rsid w:val="004322A2"/>
    <w:rsid w:val="00455DF1"/>
    <w:rsid w:val="00462B90"/>
    <w:rsid w:val="004808CD"/>
    <w:rsid w:val="004828A0"/>
    <w:rsid w:val="004B69C7"/>
    <w:rsid w:val="004D193B"/>
    <w:rsid w:val="004E1D07"/>
    <w:rsid w:val="004F4CE8"/>
    <w:rsid w:val="004F5C81"/>
    <w:rsid w:val="00521E31"/>
    <w:rsid w:val="0053222C"/>
    <w:rsid w:val="005469BD"/>
    <w:rsid w:val="005469EF"/>
    <w:rsid w:val="00550B17"/>
    <w:rsid w:val="005854B8"/>
    <w:rsid w:val="005B1928"/>
    <w:rsid w:val="005F4385"/>
    <w:rsid w:val="00606BAE"/>
    <w:rsid w:val="0065012F"/>
    <w:rsid w:val="00665A7B"/>
    <w:rsid w:val="0068043B"/>
    <w:rsid w:val="00681CA7"/>
    <w:rsid w:val="006D50EE"/>
    <w:rsid w:val="006D7E8D"/>
    <w:rsid w:val="006F77CC"/>
    <w:rsid w:val="00764419"/>
    <w:rsid w:val="0077636B"/>
    <w:rsid w:val="007E414D"/>
    <w:rsid w:val="008235E8"/>
    <w:rsid w:val="00853AD0"/>
    <w:rsid w:val="008773DF"/>
    <w:rsid w:val="0089740C"/>
    <w:rsid w:val="008B01BA"/>
    <w:rsid w:val="008B50A0"/>
    <w:rsid w:val="008C0C35"/>
    <w:rsid w:val="008C22AD"/>
    <w:rsid w:val="008C2615"/>
    <w:rsid w:val="008C2633"/>
    <w:rsid w:val="008E3D8D"/>
    <w:rsid w:val="008F2F93"/>
    <w:rsid w:val="009000F8"/>
    <w:rsid w:val="009010B0"/>
    <w:rsid w:val="00906B39"/>
    <w:rsid w:val="0091500F"/>
    <w:rsid w:val="009218CC"/>
    <w:rsid w:val="00963443"/>
    <w:rsid w:val="009B3C93"/>
    <w:rsid w:val="009C374A"/>
    <w:rsid w:val="009F4EA0"/>
    <w:rsid w:val="00AB172A"/>
    <w:rsid w:val="00AD20F1"/>
    <w:rsid w:val="00AE519B"/>
    <w:rsid w:val="00B026E8"/>
    <w:rsid w:val="00B71FDA"/>
    <w:rsid w:val="00B94B30"/>
    <w:rsid w:val="00BA0872"/>
    <w:rsid w:val="00BA26BB"/>
    <w:rsid w:val="00BB2E32"/>
    <w:rsid w:val="00BC5CCE"/>
    <w:rsid w:val="00BC6810"/>
    <w:rsid w:val="00BD20F5"/>
    <w:rsid w:val="00BE0B4D"/>
    <w:rsid w:val="00BE58D6"/>
    <w:rsid w:val="00BF5468"/>
    <w:rsid w:val="00C04C90"/>
    <w:rsid w:val="00C17728"/>
    <w:rsid w:val="00C22106"/>
    <w:rsid w:val="00C23E12"/>
    <w:rsid w:val="00C2489F"/>
    <w:rsid w:val="00C26081"/>
    <w:rsid w:val="00C41251"/>
    <w:rsid w:val="00C4126D"/>
    <w:rsid w:val="00C53AE6"/>
    <w:rsid w:val="00C76C99"/>
    <w:rsid w:val="00C8423A"/>
    <w:rsid w:val="00C92ECC"/>
    <w:rsid w:val="00CE53FE"/>
    <w:rsid w:val="00D716AD"/>
    <w:rsid w:val="00DB14F9"/>
    <w:rsid w:val="00DB7929"/>
    <w:rsid w:val="00DD1BB3"/>
    <w:rsid w:val="00DF2FF7"/>
    <w:rsid w:val="00DF69CC"/>
    <w:rsid w:val="00E517F0"/>
    <w:rsid w:val="00E612FF"/>
    <w:rsid w:val="00E9119A"/>
    <w:rsid w:val="00E932B9"/>
    <w:rsid w:val="00EB1B31"/>
    <w:rsid w:val="00EC284A"/>
    <w:rsid w:val="00EE29B4"/>
    <w:rsid w:val="00F215C0"/>
    <w:rsid w:val="00F818D6"/>
    <w:rsid w:val="00F82A16"/>
    <w:rsid w:val="00F95E53"/>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1504">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21187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BCCF51D-0E32-447D-97A2-559BE1C2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1032</Words>
  <Characters>5885</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34</cp:revision>
  <dcterms:created xsi:type="dcterms:W3CDTF">2025-03-01T13:19:00Z</dcterms:created>
  <dcterms:modified xsi:type="dcterms:W3CDTF">2025-08-08T05:13:00Z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2025-03-01T08:59:31Z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f94883f7-99a5-4015-b06a-f38d57c24bfc</vt:lpwstr>
  </property>
  <property fmtid="{D5CDD505-2E9C-101B-9397-08002B2CF9AE}" pid="10" name="MSIP_Label_0f488380-630a-4f55-a077-a19445e3f360_ContentBits">
    <vt:lpwstr>0</vt:lpwstr>
  </property>
  <property fmtid="{D5CDD505-2E9C-101B-9397-08002B2CF9AE}" pid="11" name="MSIP_Label_0f488380-630a-4f55-a077-a19445e3f360_Tag">
    <vt:lpwstr>10, 3, 0, 1</vt:lpwstr>
  </property>
</Properties>
</file>