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3A064E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31A85D5F" w:rsidR="001564A4" w:rsidRPr="003A064E" w:rsidRDefault="006921F5" w:rsidP="003A064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3A064E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Corticosteroid Use in Children With Uncontrolled Asthma by Exacerbation History</w:t>
            </w:r>
          </w:p>
        </w:tc>
      </w:tr>
      <w:tr w:rsidR="001564A4" w:rsidRPr="003A064E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531CC8ED" w:rsidR="001564A4" w:rsidRPr="003A064E" w:rsidRDefault="00DE52C3" w:rsidP="003A064E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3A064E">
              <w:rPr>
                <w:rFonts w:ascii="Arial" w:hAnsi="Arial" w:cs="Arial"/>
                <w:sz w:val="22"/>
                <w:szCs w:val="22"/>
                <w:lang w:val="en-US" w:eastAsia="en-GB"/>
              </w:rPr>
              <w:t>Jana Moody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3A064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*, </w:t>
            </w:r>
            <w:r w:rsidR="006921F5" w:rsidRPr="003A064E">
              <w:rPr>
                <w:rFonts w:ascii="Arial" w:hAnsi="Arial" w:cs="Arial"/>
                <w:sz w:val="22"/>
                <w:szCs w:val="22"/>
                <w:lang w:val="en-US" w:eastAsia="en-GB"/>
              </w:rPr>
              <w:t>Constance H. Katelaris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6921F5" w:rsidRPr="003A064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6921F5" w:rsidRPr="003A064E">
              <w:rPr>
                <w:rFonts w:ascii="Arial" w:hAnsi="Arial" w:cs="Arial"/>
                <w:sz w:val="22"/>
                <w:szCs w:val="22"/>
                <w:lang w:val="en-US" w:eastAsia="en-GB"/>
              </w:rPr>
              <w:t>*, Francine M. Ducharme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6921F5" w:rsidRPr="003A064E">
              <w:rPr>
                <w:rFonts w:ascii="Arial" w:hAnsi="Arial" w:cs="Arial"/>
                <w:sz w:val="22"/>
                <w:szCs w:val="22"/>
                <w:lang w:val="en-US" w:eastAsia="en-GB"/>
              </w:rPr>
              <w:t>, Lawrence D. Sher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6921F5" w:rsidRPr="003A064E">
              <w:rPr>
                <w:rFonts w:ascii="Arial" w:hAnsi="Arial" w:cs="Arial"/>
                <w:sz w:val="22"/>
                <w:szCs w:val="22"/>
                <w:lang w:val="en-US" w:eastAsia="en-GB"/>
              </w:rPr>
              <w:t>, Eckard Hamelmann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6921F5" w:rsidRPr="003A064E">
              <w:rPr>
                <w:rFonts w:ascii="Arial" w:hAnsi="Arial" w:cs="Arial"/>
                <w:sz w:val="22"/>
                <w:szCs w:val="22"/>
                <w:lang w:val="en-US" w:eastAsia="en-GB"/>
              </w:rPr>
              <w:t>, Ines de Mir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6921F5" w:rsidRPr="003A064E">
              <w:rPr>
                <w:rFonts w:ascii="Arial" w:hAnsi="Arial" w:cs="Arial"/>
                <w:sz w:val="22"/>
                <w:szCs w:val="22"/>
                <w:lang w:val="en-US" w:eastAsia="en-GB"/>
              </w:rPr>
              <w:t>, Changming Xia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8</w:t>
            </w:r>
            <w:r w:rsidR="006921F5" w:rsidRPr="003A064E">
              <w:rPr>
                <w:rFonts w:ascii="Arial" w:hAnsi="Arial" w:cs="Arial"/>
                <w:sz w:val="22"/>
                <w:szCs w:val="22"/>
                <w:lang w:val="en-US" w:eastAsia="en-GB"/>
              </w:rPr>
              <w:t>, Rebecca Gall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8</w:t>
            </w:r>
            <w:r w:rsidR="006921F5" w:rsidRPr="003A064E">
              <w:rPr>
                <w:rFonts w:ascii="Arial" w:hAnsi="Arial" w:cs="Arial"/>
                <w:sz w:val="22"/>
                <w:szCs w:val="22"/>
                <w:lang w:val="en-US" w:eastAsia="en-GB"/>
              </w:rPr>
              <w:t>, Olivier Ledanois</w:t>
            </w:r>
            <w:r w:rsidR="006921F5" w:rsidRPr="003A064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9</w:t>
            </w:r>
          </w:p>
        </w:tc>
      </w:tr>
      <w:tr w:rsidR="001564A4" w:rsidRPr="003A064E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5ED36BF" w14:textId="5B38AF1C" w:rsidR="001564A4" w:rsidRPr="00DE52C3" w:rsidRDefault="00DE52C3" w:rsidP="003A064E">
            <w:pP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fy-NL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1</w:t>
            </w:r>
            <w:r w:rsidRPr="003A064E">
              <w:rPr>
                <w:rFonts w:ascii="Arial" w:hAnsi="Arial" w:cs="Arial"/>
                <w:i/>
                <w:iCs/>
                <w:sz w:val="22"/>
                <w:szCs w:val="22"/>
              </w:rPr>
              <w:t>Sanofi, New South Wales, Australia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 w:rsidRPr="00DE52C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="006921F5" w:rsidRPr="003A064E">
              <w:rPr>
                <w:rFonts w:ascii="Arial" w:hAnsi="Arial" w:cs="Arial"/>
                <w:i/>
                <w:iCs/>
                <w:sz w:val="22"/>
                <w:szCs w:val="22"/>
                <w:lang w:val="fy-NL"/>
              </w:rPr>
              <w:t>Camplbelltown Hospital, Campbelltown, NSW, Australia</w:t>
            </w:r>
            <w:r w:rsidR="006921F5" w:rsidRPr="003A064E">
              <w:rPr>
                <w:rFonts w:ascii="Arial" w:hAnsi="Arial" w:cs="Arial"/>
                <w:i/>
                <w:iCs/>
                <w:sz w:val="22"/>
                <w:szCs w:val="22"/>
                <w:lang w:val="fy-NL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fy-NL"/>
              </w:rPr>
              <w:t>3</w:t>
            </w:r>
            <w:r w:rsidR="006921F5" w:rsidRPr="003A064E">
              <w:rPr>
                <w:rFonts w:ascii="Arial" w:hAnsi="Arial" w:cs="Arial"/>
                <w:i/>
                <w:iCs/>
                <w:sz w:val="22"/>
                <w:szCs w:val="22"/>
                <w:lang w:val="fy-NL"/>
              </w:rPr>
              <w:t>Western Sydney University, Sydney, NSW, Australia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fy-NL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fy-NL"/>
              </w:rPr>
              <w:t>4</w:t>
            </w:r>
            <w:r w:rsidR="006921F5" w:rsidRPr="003A064E">
              <w:rPr>
                <w:rFonts w:ascii="Arial" w:hAnsi="Arial" w:cs="Arial"/>
                <w:i/>
                <w:iCs/>
                <w:sz w:val="22"/>
                <w:szCs w:val="22"/>
                <w:lang w:val="fy-NL"/>
              </w:rPr>
              <w:t>Departments of Pediatrics and of Social and Preventive Medicine, University of Montreal, Montreal, Canada</w:t>
            </w:r>
            <w:r w:rsidR="006921F5" w:rsidRPr="003A064E">
              <w:rPr>
                <w:rFonts w:ascii="Arial" w:hAnsi="Arial" w:cs="Arial"/>
                <w:i/>
                <w:iCs/>
                <w:sz w:val="22"/>
                <w:szCs w:val="22"/>
                <w:lang w:val="fy-NL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fy-NL"/>
              </w:rPr>
              <w:t>5</w:t>
            </w:r>
            <w:r w:rsidR="006921F5" w:rsidRPr="003A064E">
              <w:rPr>
                <w:rFonts w:ascii="Arial" w:hAnsi="Arial" w:cs="Arial"/>
                <w:i/>
                <w:iCs/>
                <w:sz w:val="22"/>
                <w:szCs w:val="22"/>
                <w:lang w:val="fy-NL"/>
              </w:rPr>
              <w:t>Peninsula Research Associates, Rolling Hills Estates, CA, USA</w:t>
            </w:r>
            <w:r w:rsidR="006921F5" w:rsidRPr="003A064E">
              <w:rPr>
                <w:rFonts w:ascii="Arial" w:hAnsi="Arial" w:cs="Arial"/>
                <w:i/>
                <w:iCs/>
                <w:sz w:val="22"/>
                <w:szCs w:val="22"/>
                <w:lang w:val="fy-NL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fy-NL"/>
              </w:rPr>
              <w:t>6</w:t>
            </w:r>
            <w:r w:rsidR="006921F5" w:rsidRPr="003A064E">
              <w:rPr>
                <w:rFonts w:ascii="Arial" w:hAnsi="Arial" w:cs="Arial"/>
                <w:i/>
                <w:iCs/>
                <w:sz w:val="22"/>
                <w:szCs w:val="22"/>
                <w:lang w:val="fy-NL"/>
              </w:rPr>
              <w:t>Department of Pediatrics, Children’s Center Bethel, University of Bielefeld, Bielefeld, Germany</w:t>
            </w:r>
            <w:r w:rsidR="006921F5" w:rsidRPr="003A064E">
              <w:rPr>
                <w:rFonts w:ascii="Arial" w:hAnsi="Arial" w:cs="Arial"/>
                <w:i/>
                <w:iCs/>
                <w:sz w:val="22"/>
                <w:szCs w:val="22"/>
                <w:lang w:val="fy-NL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fy-NL"/>
              </w:rPr>
              <w:t>7</w:t>
            </w:r>
            <w:r w:rsidR="006921F5" w:rsidRPr="003A064E">
              <w:rPr>
                <w:rFonts w:ascii="Arial" w:hAnsi="Arial" w:cs="Arial"/>
                <w:i/>
                <w:iCs/>
                <w:sz w:val="22"/>
                <w:szCs w:val="22"/>
                <w:lang w:val="fy-NL"/>
              </w:rPr>
              <w:t>Hospital Vall d'Hebron, Barcelona, Spain</w:t>
            </w:r>
            <w:r w:rsidR="006921F5" w:rsidRPr="003A064E">
              <w:rPr>
                <w:rFonts w:ascii="Arial" w:hAnsi="Arial" w:cs="Arial"/>
                <w:i/>
                <w:iCs/>
                <w:sz w:val="22"/>
                <w:szCs w:val="22"/>
                <w:lang w:val="fy-NL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fy-NL"/>
              </w:rPr>
              <w:t>8</w:t>
            </w:r>
            <w:r w:rsidR="006921F5" w:rsidRPr="003A064E">
              <w:rPr>
                <w:rFonts w:ascii="Arial" w:hAnsi="Arial" w:cs="Arial"/>
                <w:i/>
                <w:iCs/>
                <w:sz w:val="22"/>
                <w:szCs w:val="22"/>
                <w:lang w:val="fy-NL"/>
              </w:rPr>
              <w:t>Regeneron Pharmaceuticals Inc., Tarrytown, NY, USA</w:t>
            </w:r>
            <w:r w:rsidR="006921F5" w:rsidRPr="003A064E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 w:rsidR="006921F5" w:rsidRPr="003A064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fy-NL"/>
              </w:rPr>
              <w:t xml:space="preserve"> 9</w:t>
            </w:r>
            <w:r w:rsidR="006921F5" w:rsidRPr="003A064E">
              <w:rPr>
                <w:rFonts w:ascii="Arial" w:hAnsi="Arial" w:cs="Arial"/>
                <w:i/>
                <w:iCs/>
                <w:sz w:val="22"/>
                <w:szCs w:val="22"/>
                <w:lang w:val="fy-NL"/>
              </w:rPr>
              <w:t>Sanofi, Paris, France</w:t>
            </w:r>
          </w:p>
        </w:tc>
      </w:tr>
      <w:tr w:rsidR="001564A4" w:rsidRPr="003A064E" w14:paraId="6DAF615A" w14:textId="77777777" w:rsidTr="006921F5">
        <w:trPr>
          <w:trHeight w:hRule="exact" w:val="7786"/>
          <w:jc w:val="center"/>
        </w:trPr>
        <w:tc>
          <w:tcPr>
            <w:tcW w:w="8640" w:type="dxa"/>
            <w:shd w:val="clear" w:color="auto" w:fill="auto"/>
          </w:tcPr>
          <w:p w14:paraId="3D770CF7" w14:textId="49DFD8F3" w:rsidR="001564A4" w:rsidRPr="003A064E" w:rsidRDefault="001564A4" w:rsidP="003A064E">
            <w:pPr>
              <w:pStyle w:val="Pa12"/>
              <w:spacing w:line="240" w:lineRule="auto"/>
              <w:rPr>
                <w:rStyle w:val="A4"/>
              </w:rPr>
            </w:pPr>
            <w:r w:rsidRPr="003A064E">
              <w:rPr>
                <w:rStyle w:val="A4"/>
                <w:b/>
                <w:bCs/>
              </w:rPr>
              <w:t xml:space="preserve">Introduction/Aim: </w:t>
            </w:r>
            <w:r w:rsidR="006921F5" w:rsidRPr="003A064E">
              <w:rPr>
                <w:sz w:val="22"/>
                <w:szCs w:val="22"/>
                <w:lang w:val="en-US"/>
              </w:rPr>
              <w:t xml:space="preserve">There is a need to limit systemic corticosteroid (SCS) exposure in children with asthma. </w:t>
            </w:r>
            <w:r w:rsidR="006921F5" w:rsidRPr="003A064E">
              <w:rPr>
                <w:sz w:val="22"/>
                <w:szCs w:val="22"/>
              </w:rPr>
              <w:t>In VOYAGE (NCT02948959), dupilumab significantly reduced severe asthma exacerbations, improved lung function and was well tolerated in children (6 to 11 years) with moderate-to-severe asthma.</w:t>
            </w:r>
            <w:bookmarkStart w:id="0" w:name="_Hlk130807291"/>
            <w:r w:rsidR="006921F5" w:rsidRPr="003A064E">
              <w:rPr>
                <w:sz w:val="22"/>
                <w:szCs w:val="22"/>
              </w:rPr>
              <w:t xml:space="preserve"> This post-hoc analysis assessed dupilumab efficacy in reducing rescue SCS use in children with moderate-to-severe type 2 asthma (baseline blood eosinophil count ≥150 cells/µL or FeNO ≥20 ppb).</w:t>
            </w:r>
            <w:bookmarkEnd w:id="0"/>
          </w:p>
          <w:p w14:paraId="5029BAE6" w14:textId="3EB1E660" w:rsidR="001564A4" w:rsidRPr="003A064E" w:rsidRDefault="001564A4" w:rsidP="003A064E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3A064E">
              <w:rPr>
                <w:rStyle w:val="A4"/>
                <w:b/>
                <w:bCs/>
              </w:rPr>
              <w:t xml:space="preserve">Methods: </w:t>
            </w:r>
            <w:r w:rsidR="006921F5" w:rsidRPr="003A064E">
              <w:rPr>
                <w:sz w:val="22"/>
                <w:szCs w:val="22"/>
                <w:lang w:val="en-US"/>
              </w:rPr>
              <w:t>Children received</w:t>
            </w:r>
            <w:r w:rsidR="006921F5" w:rsidRPr="003A064E">
              <w:rPr>
                <w:sz w:val="22"/>
                <w:szCs w:val="22"/>
              </w:rPr>
              <w:t xml:space="preserve"> dupilumab 100/200 mg or placebo, every 2 weeks for 52 weeks. Unadjusted annualized severe exacerbation rate, number of total SCS courses, and change from baseline in pre-bronchodilator percent predicted (pp) forced expiratory volume in 1 second (FEV</w:t>
            </w:r>
            <w:r w:rsidR="006921F5" w:rsidRPr="003A064E">
              <w:rPr>
                <w:sz w:val="22"/>
                <w:szCs w:val="22"/>
                <w:vertAlign w:val="subscript"/>
              </w:rPr>
              <w:t>1</w:t>
            </w:r>
            <w:r w:rsidR="006921F5" w:rsidRPr="003A064E">
              <w:rPr>
                <w:sz w:val="22"/>
                <w:szCs w:val="22"/>
              </w:rPr>
              <w:t>) were analysed in patients stratified by number of exacerbations (1, 2, or ≥3) in the year prior to VOYAGE.</w:t>
            </w:r>
          </w:p>
          <w:p w14:paraId="68537800" w14:textId="35DC2177" w:rsidR="001564A4" w:rsidRPr="003A064E" w:rsidRDefault="001564A4" w:rsidP="003A064E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3A064E">
              <w:rPr>
                <w:rStyle w:val="A4"/>
                <w:b/>
                <w:bCs/>
              </w:rPr>
              <w:t xml:space="preserve">Results: </w:t>
            </w:r>
            <w:r w:rsidR="006921F5" w:rsidRPr="003A064E">
              <w:rPr>
                <w:sz w:val="22"/>
                <w:szCs w:val="22"/>
                <w:lang w:val="en-US"/>
              </w:rPr>
              <w:t>Dupilumab vs placebo reduced severe exacerbation rates for children with type 2 asthma, with 1 (0.143 [n=77] vs 0.463 [n=43]), 2 (0.290 [n=69] vs 0.678 [n=31]), or ≥3 (0.682 [n=63] vs 0.994 [n=32]) prior exacerbations.</w:t>
            </w:r>
            <w:r w:rsidR="006921F5" w:rsidRPr="003A064E">
              <w:rPr>
                <w:sz w:val="22"/>
                <w:szCs w:val="22"/>
              </w:rPr>
              <w:t xml:space="preserve"> </w:t>
            </w:r>
            <w:r w:rsidR="006921F5" w:rsidRPr="003A064E">
              <w:rPr>
                <w:sz w:val="22"/>
                <w:szCs w:val="22"/>
                <w:lang w:val="en-US"/>
              </w:rPr>
              <w:t>Unadjusted annualized number of SCS courses were 0.16 vs 0.49/0.33 vs 0.74/0.78 vs 1.18, respectively. Dupilumab vs placebo improved ppFEV</w:t>
            </w:r>
            <w:r w:rsidR="006921F5" w:rsidRPr="003A064E">
              <w:rPr>
                <w:sz w:val="22"/>
                <w:szCs w:val="22"/>
                <w:vertAlign w:val="subscript"/>
                <w:lang w:val="en-US"/>
              </w:rPr>
              <w:t>1</w:t>
            </w:r>
            <w:r w:rsidR="006921F5" w:rsidRPr="003A064E">
              <w:rPr>
                <w:sz w:val="22"/>
                <w:szCs w:val="22"/>
                <w:lang w:val="en-US"/>
              </w:rPr>
              <w:t xml:space="preserve"> by Week 2 (</w:t>
            </w:r>
            <w:r w:rsidR="006921F5" w:rsidRPr="003A064E">
              <w:rPr>
                <w:sz w:val="22"/>
                <w:szCs w:val="22"/>
              </w:rPr>
              <w:t>Mean % [SD] change from baseline: 6.2 (13.9) vs 1.9 (10.5)</w:t>
            </w:r>
            <w:r w:rsidR="006921F5" w:rsidRPr="003A064E" w:rsidDel="0010125D">
              <w:rPr>
                <w:sz w:val="22"/>
                <w:szCs w:val="22"/>
              </w:rPr>
              <w:t xml:space="preserve"> </w:t>
            </w:r>
            <w:r w:rsidR="006921F5" w:rsidRPr="003A064E">
              <w:rPr>
                <w:sz w:val="22"/>
                <w:szCs w:val="22"/>
              </w:rPr>
              <w:t>/10.7 (16.4) vs 8.4 (12.8)</w:t>
            </w:r>
            <w:r w:rsidR="006921F5" w:rsidRPr="003A064E" w:rsidDel="0010125D">
              <w:rPr>
                <w:sz w:val="22"/>
                <w:szCs w:val="22"/>
              </w:rPr>
              <w:t xml:space="preserve"> </w:t>
            </w:r>
            <w:r w:rsidR="006921F5" w:rsidRPr="003A064E">
              <w:rPr>
                <w:sz w:val="22"/>
                <w:szCs w:val="22"/>
              </w:rPr>
              <w:t>/8.2 (13.6) vs 2.6 (15.6); Week 52: 10.6 (15.9) vs 3.0 (12.1)</w:t>
            </w:r>
            <w:r w:rsidR="006921F5" w:rsidRPr="003A064E" w:rsidDel="0010125D">
              <w:rPr>
                <w:sz w:val="22"/>
                <w:szCs w:val="22"/>
              </w:rPr>
              <w:t xml:space="preserve"> </w:t>
            </w:r>
            <w:r w:rsidR="006921F5" w:rsidRPr="003A064E">
              <w:rPr>
                <w:sz w:val="22"/>
                <w:szCs w:val="22"/>
              </w:rPr>
              <w:t>/ 17.3 (23.6) vs 5.8 (12.7)</w:t>
            </w:r>
            <w:r w:rsidR="006921F5" w:rsidRPr="003A064E" w:rsidDel="0010125D">
              <w:rPr>
                <w:sz w:val="22"/>
                <w:szCs w:val="22"/>
              </w:rPr>
              <w:t xml:space="preserve"> </w:t>
            </w:r>
            <w:r w:rsidR="006921F5" w:rsidRPr="003A064E">
              <w:rPr>
                <w:sz w:val="22"/>
                <w:szCs w:val="22"/>
              </w:rPr>
              <w:t>/10.0 (14.7) vs 3.0 (18.0)) with 1, 2, and ≥3 prior exacerbations</w:t>
            </w:r>
            <w:r w:rsidR="006921F5" w:rsidRPr="003A064E">
              <w:rPr>
                <w:sz w:val="22"/>
                <w:szCs w:val="22"/>
                <w:lang w:val="en-US"/>
              </w:rPr>
              <w:t>, respectively.</w:t>
            </w:r>
          </w:p>
          <w:p w14:paraId="652F7BE1" w14:textId="3963AFB3" w:rsidR="001564A4" w:rsidRPr="003A064E" w:rsidRDefault="001564A4" w:rsidP="003A064E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3A064E">
              <w:rPr>
                <w:rStyle w:val="A4"/>
                <w:b/>
                <w:bCs/>
              </w:rPr>
              <w:t xml:space="preserve">Conclusion: </w:t>
            </w:r>
            <w:bookmarkStart w:id="1" w:name="_Hlk130807300"/>
            <w:r w:rsidR="006921F5" w:rsidRPr="003A064E">
              <w:rPr>
                <w:sz w:val="22"/>
                <w:szCs w:val="22"/>
                <w:lang w:val="en-US"/>
              </w:rPr>
              <w:t>In children with uncontrolled moderate-to-severe type 2 asthma, dupilumab reduced corticosteroid burden related to exacerbations, regardless of exacerbation history.</w:t>
            </w:r>
            <w:bookmarkEnd w:id="1"/>
          </w:p>
          <w:p w14:paraId="7F8381F0" w14:textId="50510CDE" w:rsidR="001564A4" w:rsidRPr="003A064E" w:rsidRDefault="001564A4" w:rsidP="003A064E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3A064E">
              <w:rPr>
                <w:rStyle w:val="A4"/>
                <w:b/>
                <w:bCs/>
              </w:rPr>
              <w:t xml:space="preserve">Grant Support: </w:t>
            </w:r>
            <w:r w:rsidR="006921F5" w:rsidRPr="003A064E">
              <w:rPr>
                <w:sz w:val="22"/>
                <w:szCs w:val="22"/>
              </w:rPr>
              <w:t xml:space="preserve">*Presenting on behalf of authors. Data first presented at the American College of Allergy, Asthma &amp; Immunology (ACAAI) annual scientific meeting; Anaheim, CA, USA; November 9-13, 2023. </w:t>
            </w:r>
            <w:r w:rsidR="006921F5" w:rsidRPr="003A064E">
              <w:rPr>
                <w:sz w:val="22"/>
                <w:szCs w:val="22"/>
                <w:lang w:val="en-US"/>
              </w:rPr>
              <w:t xml:space="preserve">Research sponsored by Sanofi and Regeneron Pharmaceuticals Inc. ClinicalTrials.gov Identifier: </w:t>
            </w:r>
            <w:r w:rsidR="006921F5" w:rsidRPr="003A064E">
              <w:rPr>
                <w:sz w:val="22"/>
                <w:szCs w:val="22"/>
              </w:rPr>
              <w:t>NCT02948959</w:t>
            </w:r>
            <w:r w:rsidR="006921F5" w:rsidRPr="003A064E">
              <w:rPr>
                <w:sz w:val="22"/>
                <w:szCs w:val="22"/>
                <w:lang w:val="en-US"/>
              </w:rPr>
              <w:t xml:space="preserve">. Medical writing/editorial assistance was provided by Sylvia Nkoula, of Excerpta Medica, </w:t>
            </w:r>
            <w:r w:rsidR="006921F5" w:rsidRPr="003A064E">
              <w:rPr>
                <w:bCs/>
                <w:sz w:val="22"/>
                <w:szCs w:val="22"/>
              </w:rPr>
              <w:t xml:space="preserve">and was funded by Sanofi and Regeneron Pharmaceuticals Inc., according to </w:t>
            </w:r>
            <w:hyperlink r:id="rId7" w:history="1">
              <w:r w:rsidR="006921F5" w:rsidRPr="003A064E">
                <w:rPr>
                  <w:rStyle w:val="Hyperlink"/>
                  <w:bCs/>
                  <w:sz w:val="22"/>
                  <w:szCs w:val="22"/>
                </w:rPr>
                <w:t>the Good Publication Practice guideline</w:t>
              </w:r>
            </w:hyperlink>
            <w:r w:rsidR="006921F5" w:rsidRPr="003A064E">
              <w:rPr>
                <w:bCs/>
                <w:sz w:val="22"/>
                <w:szCs w:val="22"/>
              </w:rPr>
              <w:t>.</w:t>
            </w:r>
            <w:r w:rsidRPr="003A064E">
              <w:rPr>
                <w:sz w:val="22"/>
                <w:szCs w:val="22"/>
              </w:rPr>
              <w:br/>
            </w:r>
            <w:r w:rsidRPr="003A064E">
              <w:rPr>
                <w:sz w:val="22"/>
                <w:szCs w:val="22"/>
              </w:rPr>
              <w:br/>
            </w:r>
            <w:r w:rsidRPr="003A064E">
              <w:rPr>
                <w:sz w:val="22"/>
                <w:szCs w:val="22"/>
              </w:rPr>
              <w:br/>
            </w:r>
            <w:r w:rsidRPr="003A064E">
              <w:rPr>
                <w:sz w:val="22"/>
                <w:szCs w:val="22"/>
              </w:rPr>
              <w:br/>
            </w:r>
            <w:r w:rsidRPr="003A064E">
              <w:rPr>
                <w:sz w:val="22"/>
                <w:szCs w:val="22"/>
              </w:rPr>
              <w:br/>
            </w:r>
            <w:r w:rsidRPr="003A064E">
              <w:rPr>
                <w:sz w:val="22"/>
                <w:szCs w:val="22"/>
              </w:rPr>
              <w:br/>
            </w:r>
            <w:r w:rsidRPr="003A064E">
              <w:rPr>
                <w:sz w:val="22"/>
                <w:szCs w:val="22"/>
              </w:rPr>
              <w:br/>
            </w:r>
            <w:r w:rsidRPr="003A064E">
              <w:rPr>
                <w:sz w:val="22"/>
                <w:szCs w:val="22"/>
              </w:rPr>
              <w:br/>
            </w:r>
            <w:r w:rsidRPr="003A064E">
              <w:rPr>
                <w:sz w:val="22"/>
                <w:szCs w:val="22"/>
              </w:rPr>
              <w:br/>
            </w:r>
            <w:r w:rsidRPr="003A064E">
              <w:rPr>
                <w:sz w:val="22"/>
                <w:szCs w:val="22"/>
              </w:rPr>
              <w:br/>
            </w:r>
            <w:r w:rsidRPr="003A064E">
              <w:rPr>
                <w:sz w:val="22"/>
                <w:szCs w:val="22"/>
              </w:rPr>
              <w:br/>
            </w:r>
          </w:p>
          <w:p w14:paraId="731CD908" w14:textId="77777777" w:rsidR="001564A4" w:rsidRPr="003A064E" w:rsidRDefault="001564A4" w:rsidP="003A064E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3A064E" w:rsidRDefault="001564A4" w:rsidP="003A064E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3A064E" w:rsidRDefault="001564A4" w:rsidP="003A064E">
            <w:pPr>
              <w:pStyle w:val="Pa12"/>
              <w:spacing w:line="240" w:lineRule="auto"/>
              <w:rPr>
                <w:rStyle w:val="A4"/>
                <w:bCs/>
              </w:rPr>
            </w:pPr>
            <w:r w:rsidRPr="003A064E">
              <w:rPr>
                <w:rStyle w:val="A4"/>
                <w:bCs/>
              </w:rPr>
              <w:br/>
            </w:r>
            <w:r w:rsidRPr="003A064E">
              <w:rPr>
                <w:rStyle w:val="A4"/>
                <w:bCs/>
              </w:rPr>
              <w:br/>
            </w:r>
            <w:r w:rsidRPr="003A064E">
              <w:rPr>
                <w:rStyle w:val="A4"/>
                <w:bCs/>
              </w:rPr>
              <w:br/>
            </w:r>
            <w:r w:rsidRPr="003A064E">
              <w:rPr>
                <w:rStyle w:val="A4"/>
                <w:bCs/>
              </w:rPr>
              <w:br/>
            </w:r>
            <w:r w:rsidRPr="003A064E">
              <w:rPr>
                <w:rStyle w:val="A4"/>
                <w:bCs/>
              </w:rPr>
              <w:br/>
            </w:r>
            <w:r w:rsidRPr="003A064E">
              <w:rPr>
                <w:rStyle w:val="A4"/>
                <w:bCs/>
              </w:rPr>
              <w:br/>
            </w:r>
            <w:r w:rsidRPr="003A064E">
              <w:rPr>
                <w:rStyle w:val="A4"/>
                <w:bCs/>
              </w:rPr>
              <w:br/>
            </w:r>
            <w:r w:rsidRPr="003A064E">
              <w:rPr>
                <w:rStyle w:val="A4"/>
                <w:bCs/>
              </w:rPr>
              <w:br/>
            </w:r>
            <w:r w:rsidRPr="003A064E">
              <w:rPr>
                <w:rStyle w:val="A4"/>
                <w:bCs/>
              </w:rPr>
              <w:br/>
            </w:r>
            <w:r w:rsidRPr="003A064E">
              <w:rPr>
                <w:rStyle w:val="A4"/>
                <w:bCs/>
              </w:rPr>
              <w:br/>
            </w:r>
            <w:r w:rsidRPr="003A064E">
              <w:rPr>
                <w:rStyle w:val="A4"/>
                <w:bCs/>
              </w:rPr>
              <w:br/>
            </w:r>
          </w:p>
          <w:p w14:paraId="14DC37E4" w14:textId="77777777" w:rsidR="001564A4" w:rsidRPr="003A064E" w:rsidRDefault="001564A4" w:rsidP="003A064E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3A064E" w:rsidRDefault="001564A4" w:rsidP="003A064E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  <w:r w:rsidRPr="003A064E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280BFF5" w14:textId="77777777" w:rsidR="006921F5" w:rsidRPr="003A064E" w:rsidRDefault="006921F5" w:rsidP="003A064E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3A064E">
        <w:rPr>
          <w:rFonts w:ascii="Arial" w:hAnsi="Arial" w:cs="Arial"/>
          <w:b/>
          <w:bCs/>
          <w:sz w:val="22"/>
          <w:szCs w:val="22"/>
          <w:lang w:val="en-US"/>
        </w:rPr>
        <w:t>Keywords:</w:t>
      </w:r>
      <w:r w:rsidRPr="003A064E">
        <w:rPr>
          <w:rFonts w:ascii="Arial" w:hAnsi="Arial" w:cs="Arial"/>
          <w:sz w:val="22"/>
          <w:szCs w:val="22"/>
        </w:rPr>
        <w:t xml:space="preserve"> Dupilumab, asthma, pediatric, corticosteroids, exacerbations</w:t>
      </w:r>
    </w:p>
    <w:p w14:paraId="7C36A9DC" w14:textId="32A70617" w:rsidR="00E0700F" w:rsidRDefault="00E0700F" w:rsidP="001564A4"/>
    <w:p w14:paraId="3E6E4780" w14:textId="77777777" w:rsidR="005B64C8" w:rsidRDefault="005B64C8" w:rsidP="001564A4"/>
    <w:p w14:paraId="1F40DE87" w14:textId="77777777" w:rsidR="005B64C8" w:rsidRDefault="005B64C8" w:rsidP="001564A4"/>
    <w:p w14:paraId="78FF1E46" w14:textId="77777777" w:rsidR="005B64C8" w:rsidRDefault="005B64C8" w:rsidP="005B64C8"/>
    <w:p w14:paraId="1A3C2039" w14:textId="0FACF351" w:rsidR="005B64C8" w:rsidRPr="009D0062" w:rsidRDefault="005B64C8" w:rsidP="005B64C8">
      <w:pPr>
        <w:rPr>
          <w:rFonts w:ascii="Arial" w:hAnsi="Arial" w:cs="Arial"/>
          <w:b/>
          <w:bCs/>
          <w:sz w:val="22"/>
          <w:szCs w:val="22"/>
          <w:lang w:val="fy-NL"/>
        </w:rPr>
      </w:pPr>
      <w:r w:rsidRPr="005B3610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Conflicts of interest: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01862">
        <w:rPr>
          <w:rFonts w:ascii="Arial" w:hAnsi="Arial" w:cs="Arial"/>
          <w:b/>
          <w:bCs/>
          <w:sz w:val="22"/>
          <w:szCs w:val="22"/>
          <w:lang w:val="fy-NL"/>
        </w:rPr>
        <w:t xml:space="preserve">Katelaris CH: </w:t>
      </w:r>
      <w:r w:rsidRPr="00D01862">
        <w:rPr>
          <w:rFonts w:ascii="Arial" w:hAnsi="Arial" w:cs="Arial"/>
          <w:sz w:val="22"/>
          <w:szCs w:val="22"/>
          <w:lang w:val="fy-NL"/>
        </w:rPr>
        <w:t>reports honoraria for presentations; Principal Investigator of the dupilumab asthma phase 2b (NCT01854047) and phase 3 (NCT02414854) studies for Regeneron Pharmaceuticals</w:t>
      </w:r>
      <w:r>
        <w:rPr>
          <w:rFonts w:ascii="Arial" w:hAnsi="Arial" w:cs="Arial"/>
          <w:sz w:val="22"/>
          <w:szCs w:val="22"/>
          <w:lang w:val="fy-NL"/>
        </w:rPr>
        <w:t xml:space="preserve"> </w:t>
      </w:r>
      <w:r w:rsidRPr="00D01862">
        <w:rPr>
          <w:rFonts w:ascii="Arial" w:hAnsi="Arial" w:cs="Arial"/>
          <w:sz w:val="22"/>
          <w:szCs w:val="22"/>
          <w:lang w:val="fy-NL"/>
        </w:rPr>
        <w:t>Inc. and Sanofi</w:t>
      </w:r>
      <w:r w:rsidRPr="00D01862">
        <w:rPr>
          <w:rFonts w:ascii="Arial" w:hAnsi="Arial" w:cs="Arial"/>
          <w:b/>
          <w:bCs/>
          <w:sz w:val="22"/>
          <w:szCs w:val="22"/>
          <w:lang w:val="fy-NL"/>
        </w:rPr>
        <w:t>.</w:t>
      </w:r>
      <w:r>
        <w:rPr>
          <w:rFonts w:ascii="Arial" w:hAnsi="Arial" w:cs="Arial"/>
          <w:b/>
          <w:bCs/>
          <w:sz w:val="22"/>
          <w:szCs w:val="22"/>
          <w:lang w:val="fy-NL"/>
        </w:rPr>
        <w:t xml:space="preserve"> </w:t>
      </w:r>
      <w:r w:rsidRPr="005B3610">
        <w:rPr>
          <w:rFonts w:ascii="Arial" w:hAnsi="Arial" w:cs="Arial"/>
          <w:b/>
          <w:bCs/>
          <w:sz w:val="22"/>
          <w:szCs w:val="22"/>
          <w:lang w:val="fy-NL"/>
        </w:rPr>
        <w:t xml:space="preserve">Ducharme P: </w:t>
      </w:r>
      <w:r w:rsidRPr="005B3610">
        <w:rPr>
          <w:rFonts w:ascii="Arial" w:hAnsi="Arial" w:cs="Arial"/>
          <w:sz w:val="22"/>
          <w:szCs w:val="22"/>
          <w:lang w:val="fy-NL"/>
        </w:rPr>
        <w:t xml:space="preserve">Sanofi – advisory board member; AstraZeneca, Covis Pharma, Sanofi, Thorasys – consultant; Covis Pharma, FMOQ, FMSQ, GSK, Sanofi – speaker; Covis Pharma, GSK, Jamieson, Thorasys/MEDTEQ – research grant funding. </w:t>
      </w:r>
      <w:r w:rsidRPr="005B3610">
        <w:rPr>
          <w:rFonts w:ascii="Arial" w:hAnsi="Arial" w:cs="Arial"/>
          <w:b/>
          <w:bCs/>
          <w:sz w:val="22"/>
          <w:szCs w:val="22"/>
          <w:lang w:val="fy-NL"/>
        </w:rPr>
        <w:t>Sher L:</w:t>
      </w:r>
      <w:r w:rsidRPr="005B3610">
        <w:rPr>
          <w:rFonts w:ascii="Arial" w:hAnsi="Arial" w:cs="Arial"/>
          <w:sz w:val="22"/>
          <w:szCs w:val="22"/>
          <w:lang w:val="fy-NL"/>
        </w:rPr>
        <w:t xml:space="preserve"> Aimmune Therapeutics, Optinose, Regeneron Pharmaceuticals Inc., Sanofi – advisory board member; Regeneron Pharmaceuticals Inc., Sanofi – speaker fees; Aimmune Therapeutics, Amgen, AstraZeneca, Circassia, DBV Technologies, Galderma, GSK, Lupin, Merck, Mylan, Novartis, Novo Nordisk, Optinose, Pearl, Pfizer, Pulmagen, Roxane, Sanofi, Spirometrix, Teva, Vectura, Watson Pharmaceuticals – clinical trials funding. </w:t>
      </w:r>
      <w:r w:rsidRPr="005B3610" w:rsidDel="00D779BB">
        <w:rPr>
          <w:rFonts w:ascii="Arial" w:hAnsi="Arial" w:cs="Arial"/>
          <w:b/>
          <w:bCs/>
          <w:sz w:val="22"/>
          <w:szCs w:val="22"/>
          <w:lang w:val="fy-NL"/>
        </w:rPr>
        <w:t>Hamelmann E:</w:t>
      </w:r>
      <w:r w:rsidRPr="005B3610" w:rsidDel="00D779BB">
        <w:rPr>
          <w:rFonts w:ascii="Arial" w:hAnsi="Arial" w:cs="Arial"/>
          <w:sz w:val="22"/>
          <w:szCs w:val="22"/>
          <w:lang w:val="fy-NL"/>
        </w:rPr>
        <w:t xml:space="preserve"> Aimmune Therapeutics, ALK, AstraZeneca, Boehringer Ingelheim, GSK, HAL Allergy, Novartis, Nutricia, Sanofi, Stallergenes Greer – speaker, advisory board member.</w:t>
      </w:r>
      <w:r w:rsidRPr="005B3610">
        <w:rPr>
          <w:rFonts w:ascii="Arial" w:hAnsi="Arial" w:cs="Arial"/>
          <w:sz w:val="22"/>
          <w:szCs w:val="22"/>
          <w:lang w:val="fy-NL"/>
        </w:rPr>
        <w:t xml:space="preserve"> </w:t>
      </w:r>
      <w:r w:rsidRPr="005B3610">
        <w:rPr>
          <w:rFonts w:ascii="Arial" w:hAnsi="Arial" w:cs="Arial"/>
          <w:b/>
          <w:bCs/>
          <w:sz w:val="22"/>
          <w:szCs w:val="22"/>
        </w:rPr>
        <w:t>de Mir I:</w:t>
      </w:r>
      <w:r w:rsidRPr="005B3610">
        <w:rPr>
          <w:rFonts w:ascii="Arial" w:hAnsi="Arial" w:cs="Arial"/>
          <w:sz w:val="22"/>
          <w:szCs w:val="22"/>
        </w:rPr>
        <w:t xml:space="preserve"> Sanofi - Personal fees for lectures, Advisory Board member; GSK- personal fees for lectures and boards; Astra, Diater -conference registration fees, travel expenses. </w:t>
      </w:r>
      <w:r w:rsidRPr="009D0062">
        <w:rPr>
          <w:rFonts w:ascii="Arial" w:hAnsi="Arial" w:cs="Arial"/>
          <w:b/>
          <w:bCs/>
          <w:sz w:val="22"/>
          <w:szCs w:val="22"/>
        </w:rPr>
        <w:t>Moody J,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B3610">
        <w:rPr>
          <w:rFonts w:ascii="Arial" w:hAnsi="Arial" w:cs="Arial"/>
          <w:b/>
          <w:bCs/>
          <w:sz w:val="22"/>
          <w:szCs w:val="22"/>
        </w:rPr>
        <w:t xml:space="preserve">Ledanois O: </w:t>
      </w:r>
      <w:r w:rsidRPr="005B3610">
        <w:rPr>
          <w:rFonts w:ascii="Arial" w:hAnsi="Arial" w:cs="Arial"/>
          <w:sz w:val="22"/>
          <w:szCs w:val="22"/>
          <w:lang w:val="fy-NL"/>
        </w:rPr>
        <w:t xml:space="preserve">Sanofi – employees, may hold stock and/or stock options in the company. </w:t>
      </w:r>
      <w:r w:rsidRPr="005B3610">
        <w:rPr>
          <w:rFonts w:ascii="Arial" w:hAnsi="Arial" w:cs="Arial"/>
          <w:b/>
          <w:bCs/>
          <w:sz w:val="22"/>
          <w:szCs w:val="22"/>
          <w:lang w:val="fy-NL"/>
        </w:rPr>
        <w:t xml:space="preserve">Xia C, Gall R: </w:t>
      </w:r>
      <w:r w:rsidRPr="005B3610">
        <w:rPr>
          <w:rFonts w:ascii="Arial" w:hAnsi="Arial" w:cs="Arial"/>
          <w:sz w:val="22"/>
          <w:szCs w:val="22"/>
          <w:lang w:val="fy-NL"/>
        </w:rPr>
        <w:t>Regeneron Pharmaceuticals Inc. – employees and shareholders.</w:t>
      </w:r>
    </w:p>
    <w:p w14:paraId="0B5014D7" w14:textId="77777777" w:rsidR="005B64C8" w:rsidRDefault="005B64C8" w:rsidP="001564A4"/>
    <w:sectPr w:rsidR="005B6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3A064E"/>
    <w:rsid w:val="0051574E"/>
    <w:rsid w:val="005B64C8"/>
    <w:rsid w:val="006921F5"/>
    <w:rsid w:val="008803FA"/>
    <w:rsid w:val="00980CB0"/>
    <w:rsid w:val="00B12E32"/>
    <w:rsid w:val="00DE52C3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6921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acpjournals.org/doi/10.7326/M22-146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documentManagement/types"/>
    <ds:schemaRef ds:uri="9c8a2b7b-0bee-4c48-b0a6-23db8982d3bc"/>
    <ds:schemaRef ds:uri="http://schemas.microsoft.com/office/2006/metadata/properties"/>
    <ds:schemaRef ds:uri="http://schemas.microsoft.com/office/infopath/2007/PartnerControls"/>
    <ds:schemaRef ds:uri="6911e96c-4cc4-42d5-8e43-f93924cf6a05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cab52c9b-ab33-4221-8af9-54f8f2b86a80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Chloe Clarke (Excerpta Medica)</cp:lastModifiedBy>
  <cp:revision>6</cp:revision>
  <dcterms:created xsi:type="dcterms:W3CDTF">2023-10-17T11:06:00Z</dcterms:created>
  <dcterms:modified xsi:type="dcterms:W3CDTF">2023-10-18T09:55:00Z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