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6"/>
      </w:tblGrid>
      <w:tr w:rsidR="001564A4" w:rsidRPr="0050053A" w14:paraId="5C38377B" w14:textId="77777777" w:rsidTr="00FD0F62">
        <w:trPr>
          <w:jc w:val="center"/>
        </w:trPr>
        <w:tc>
          <w:tcPr>
            <w:tcW w:w="8996" w:type="dxa"/>
            <w:shd w:val="clear" w:color="auto" w:fill="auto"/>
          </w:tcPr>
          <w:p w14:paraId="5C44F357" w14:textId="55D3C2DD" w:rsidR="001564A4" w:rsidRPr="00FD0F62" w:rsidRDefault="00FD0F62" w:rsidP="00FD0F62">
            <w:pPr>
              <w:pStyle w:val="1"/>
              <w:jc w:val="center"/>
              <w:rPr>
                <w:rFonts w:ascii="Arial" w:eastAsiaTheme="minorEastAsia" w:hAnsi="Arial" w:cs="Arial"/>
                <w:bCs w:val="0"/>
                <w:kern w:val="0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Cs w:val="0"/>
                <w:kern w:val="0"/>
                <w:sz w:val="22"/>
                <w:szCs w:val="22"/>
              </w:rPr>
              <w:t>Forest Stand-Scale AGB Mapping over the farm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Timber Cruising and Airborne LiDAR Data</w:t>
            </w:r>
          </w:p>
        </w:tc>
      </w:tr>
      <w:tr w:rsidR="001564A4" w:rsidRPr="0050053A" w14:paraId="6DAF615A" w14:textId="77777777" w:rsidTr="00FD0F62">
        <w:trPr>
          <w:jc w:val="center"/>
        </w:trPr>
        <w:tc>
          <w:tcPr>
            <w:tcW w:w="8996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88D0C7F" w14:textId="77777777" w:rsidR="00FD0F62" w:rsidRDefault="00FD0F62" w:rsidP="00FD0F62">
            <w:pPr>
              <w:widowControl w:val="0"/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Airborne LiDAR data </w:t>
            </w:r>
            <w:r>
              <w:rPr>
                <w:rFonts w:ascii="Arial" w:eastAsiaTheme="minorEastAsia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are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one of the primary methods for large-scale forest biomass mapping. The commonly used area-based approach (ABA) typically relies on the statistical relationship between LiDAR point cloud feature parameters and plot-level forest biomass, with a spatial resolution usually between 20 to 30 meters (</w:t>
            </w:r>
            <w:proofErr w:type="spellStart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Tompalskia</w:t>
            </w:r>
            <w:proofErr w:type="spellEnd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et al., 2019). Field data collection 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is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a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laborious task in biomass mapping using ABA predictive models developed from stratified inventory data from field plots (Du et al., 2023 ).</w:t>
            </w:r>
          </w:p>
          <w:p w14:paraId="46252BFE" w14:textId="77777777" w:rsidR="00FD0F62" w:rsidRDefault="00FD0F62" w:rsidP="00FD0F62">
            <w:pPr>
              <w:widowControl w:val="0"/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</w:pPr>
          </w:p>
          <w:p w14:paraId="1B159088" w14:textId="77777777" w:rsidR="00FD0F62" w:rsidRDefault="00FD0F62" w:rsidP="00FD0F62">
            <w:pP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 xml:space="preserve">In plantations with logging plans, timber cruising is conducted to calculate the volume and biomass before and after harvesting for a certain number of </w:t>
            </w:r>
            <w:proofErr w:type="gramStart"/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forest</w:t>
            </w:r>
            <w:proofErr w:type="gramEnd"/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 xml:space="preserve"> stands. </w:t>
            </w:r>
            <w:r>
              <w:rPr>
                <w:rFonts w:ascii="Arial" w:eastAsiaTheme="minorEastAsia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F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orest stands, due to their homogeneous internal characteristics</w:t>
            </w:r>
            <w:r>
              <w:rPr>
                <w:rFonts w:asciiTheme="minorEastAsia" w:eastAsiaTheme="minorEastAsia" w:hAnsiTheme="minorEastAsia" w:cs="Arial" w:hint="eastAsia"/>
                <w:color w:val="0D0D0D"/>
                <w:sz w:val="22"/>
                <w:szCs w:val="22"/>
                <w:shd w:val="clear" w:color="auto" w:fill="FFFFFF"/>
                <w:lang w:eastAsia="zh-CN"/>
              </w:rPr>
              <w:t>,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hold potential as units for AGB estimation. Consequently, we propose a novel approach that utilizes timber cruising data as reference data and predictor variables derived from airborne laser scanner (ALS) data to establish a biomass estimation model at forest stand scale. Subsequently, this model is used in conjunction with automatically delineated sub-compartment </w:t>
            </w:r>
            <w:proofErr w:type="spellStart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ploygons</w:t>
            </w:r>
            <w:proofErr w:type="spellEnd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to create AGB distribution maps at the forest </w:t>
            </w:r>
            <w:r>
              <w:rPr>
                <w:rFonts w:ascii="Arial" w:eastAsiaTheme="minorEastAsia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farms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scale.</w:t>
            </w:r>
          </w:p>
          <w:p w14:paraId="3D770CF7" w14:textId="02D590D3" w:rsidR="001564A4" w:rsidRPr="00FD0F62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12B1E3CE" w14:textId="77777777" w:rsidR="00FD0F62" w:rsidRDefault="00FD0F62" w:rsidP="00FD0F62">
            <w:pPr>
              <w:rPr>
                <w:rFonts w:ascii="宋体" w:eastAsia="宋体" w:hAnsi="宋体" w:cs="宋体"/>
                <w:color w:val="0D0D0D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 xml:space="preserve">In this paper, we compile timber cruising data from 2017 to 2020 in the </w:t>
            </w:r>
            <w:proofErr w:type="spellStart"/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Mengjiagang</w:t>
            </w:r>
            <w:proofErr w:type="spellEnd"/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1F1F1F"/>
              </w:rPr>
              <w:t xml:space="preserve">Forest 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Farm</w:t>
            </w:r>
            <w:r>
              <w:rPr>
                <w:rFonts w:ascii="Arial" w:eastAsia="宋体" w:hAnsi="Arial" w:cs="Arial"/>
                <w:color w:val="0D0D0D"/>
                <w:sz w:val="22"/>
                <w:szCs w:val="22"/>
                <w:shd w:val="clear" w:color="auto" w:fill="FFFFFF"/>
                <w:lang w:eastAsia="zh-CN"/>
              </w:rPr>
              <w:t>(MFF)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,Heilongjiang Province, China, and align it with two sets of ALS data (2017 and 2020). Subsequently, we computed ALS-derived variables for each forest stand, including height, canopy density, and vertical structure variables. Across different forest types, we evaluated four variable selection and regression approaches: linear models based on Recursive Feature Elimination (RFE), linear models based on Stepwise regression (ST), linear models with ridge regularization (LMR), and Random Forest models (RF).</w:t>
            </w:r>
            <w:r>
              <w:rPr>
                <w:rFonts w:ascii="Arial" w:hAnsi="Arial" w:cs="Arial"/>
                <w:color w:val="0D0D0D"/>
                <w:sz w:val="21"/>
                <w:szCs w:val="21"/>
                <w:shd w:val="clear" w:color="auto" w:fill="FFFFFF"/>
              </w:rPr>
              <w:t xml:space="preserve"> Finall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y,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D0D0D"/>
                <w:sz w:val="21"/>
                <w:szCs w:val="21"/>
                <w:shd w:val="clear" w:color="auto" w:fill="FFFFFF"/>
              </w:rPr>
              <w:t>by integrating the forest stands automatically delineated based on remote sensing data across the entire forest farm.</w:t>
            </w:r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>Xiong</w:t>
            </w:r>
            <w:proofErr w:type="spellEnd"/>
            <w:r>
              <w:rPr>
                <w:rFonts w:ascii="Arial" w:hAnsi="Arial" w:cs="Arial"/>
                <w:color w:val="0D0D0D"/>
                <w:sz w:val="22"/>
                <w:szCs w:val="22"/>
                <w:shd w:val="clear" w:color="auto" w:fill="FFFFFF"/>
              </w:rPr>
              <w:t xml:space="preserve"> et al., 2024)</w:t>
            </w:r>
            <w:r>
              <w:rPr>
                <w:rFonts w:ascii="Arial" w:hAnsi="Arial" w:cs="Arial"/>
                <w:color w:val="0D0D0D"/>
                <w:sz w:val="21"/>
                <w:szCs w:val="21"/>
                <w:shd w:val="clear" w:color="auto" w:fill="FFFFFF"/>
              </w:rPr>
              <w:t>, we utilize the optimal model to conduct biomass mapping for the MFF</w:t>
            </w:r>
            <w:r>
              <w:rPr>
                <w:rFonts w:ascii="宋体" w:eastAsia="宋体" w:hAnsi="宋体" w:cs="宋体" w:hint="eastAsia"/>
                <w:color w:val="0D0D0D"/>
                <w:sz w:val="21"/>
                <w:szCs w:val="21"/>
                <w:shd w:val="clear" w:color="auto" w:fill="FFFFFF"/>
                <w:lang w:eastAsia="zh-CN"/>
              </w:rPr>
              <w:t>.</w:t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3F50D11" w14:textId="4C194B5B" w:rsidR="00FD0F62" w:rsidRPr="00FD0F62" w:rsidRDefault="00FD0F62" w:rsidP="00FD0F62">
            <w:pPr>
              <w:pStyle w:val="Default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The accuracy of the biomass estimation model at the sub-compartment scale is shown in Figure 1 </w:t>
            </w:r>
            <w:r>
              <w:rPr>
                <w:rFonts w:eastAsiaTheme="minorEastAsia"/>
                <w:color w:val="0D0D0D"/>
                <w:sz w:val="22"/>
                <w:szCs w:val="22"/>
                <w:shd w:val="clear" w:color="auto" w:fill="FFFFFF"/>
                <w:lang w:eastAsia="zh-CN"/>
              </w:rPr>
              <w:t xml:space="preserve">to </w:t>
            </w:r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2. For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Larix</w:t>
            </w:r>
            <w:proofErr w:type="spellEnd"/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and </w:t>
            </w:r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 xml:space="preserve">Pinus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sylvestris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, the optimal model, determined through 1000 iterations of tenfold cross-validation, achieved an average accuracy of R²=0.87, </w:t>
            </w:r>
            <w:proofErr w:type="spellStart"/>
            <w:r>
              <w:rPr>
                <w:color w:val="0D0D0D"/>
                <w:sz w:val="22"/>
                <w:szCs w:val="22"/>
                <w:shd w:val="clear" w:color="auto" w:fill="FFFFFF"/>
              </w:rPr>
              <w:t>rRMSE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=0.16 for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Larix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, and R²=0.76, </w:t>
            </w:r>
            <w:proofErr w:type="spellStart"/>
            <w:r>
              <w:rPr>
                <w:color w:val="0D0D0D"/>
                <w:sz w:val="22"/>
                <w:szCs w:val="22"/>
                <w:shd w:val="clear" w:color="auto" w:fill="FFFFFF"/>
              </w:rPr>
              <w:t>rRMSE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=0.14 for </w:t>
            </w:r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 xml:space="preserve">Pinus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sylvestris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. For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Picea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 xml:space="preserve">, due to fewer sample plots, leave-one-out cross-validation was used, resulting in an accuracy of R²=0.98, </w:t>
            </w:r>
            <w:proofErr w:type="spellStart"/>
            <w:r>
              <w:rPr>
                <w:color w:val="0D0D0D"/>
                <w:sz w:val="22"/>
                <w:szCs w:val="22"/>
                <w:shd w:val="clear" w:color="auto" w:fill="FFFFFF"/>
              </w:rPr>
              <w:t>rRMSE</w:t>
            </w:r>
            <w:proofErr w:type="spellEnd"/>
            <w:r>
              <w:rPr>
                <w:color w:val="0D0D0D"/>
                <w:sz w:val="22"/>
                <w:szCs w:val="22"/>
                <w:shd w:val="clear" w:color="auto" w:fill="FFFFFF"/>
              </w:rPr>
              <w:t>=0.12.</w:t>
            </w:r>
          </w:p>
          <w:p w14:paraId="5B031A25" w14:textId="268FFFF7" w:rsidR="00FD0F62" w:rsidRDefault="00FD0F62" w:rsidP="00FD0F62">
            <w:pPr>
              <w:pStyle w:val="Pa12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1568D424" wp14:editId="3AFAF59E">
                  <wp:extent cx="4610100" cy="1287780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B76FA" w14:textId="6491038C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Figure 1: Precision of biomass estimation for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Larix</w:t>
            </w:r>
            <w:proofErr w:type="spellEnd"/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 and </w:t>
            </w:r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 xml:space="preserve">Pinus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sylvestris</w:t>
            </w:r>
            <w:proofErr w:type="spellEnd"/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 in forest stand.</w:t>
            </w:r>
          </w:p>
          <w:p w14:paraId="77C3CFDF" w14:textId="2E0A90CE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</w:p>
          <w:p w14:paraId="6661ECCD" w14:textId="2A4209AC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</w:p>
          <w:p w14:paraId="4279CFF8" w14:textId="562C37AE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</w:p>
          <w:p w14:paraId="7960FF33" w14:textId="192B446F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</w:p>
          <w:p w14:paraId="2BED285F" w14:textId="44329A61" w:rsidR="00FD0F62" w:rsidRDefault="00FD0F62" w:rsidP="00FD0F62">
            <w:pPr>
              <w:pStyle w:val="Default"/>
              <w:rPr>
                <w:rFonts w:eastAsiaTheme="minorEastAsia"/>
                <w:lang w:eastAsia="zh-CN"/>
              </w:rPr>
            </w:pPr>
          </w:p>
          <w:p w14:paraId="64595B38" w14:textId="77777777" w:rsidR="00FD0F62" w:rsidRPr="00FD0F62" w:rsidRDefault="00FD0F62" w:rsidP="00FD0F62">
            <w:pPr>
              <w:pStyle w:val="Default"/>
              <w:rPr>
                <w:rFonts w:eastAsiaTheme="minorEastAsia" w:hint="eastAsia"/>
                <w:lang w:eastAsia="zh-CN"/>
              </w:rPr>
            </w:pPr>
          </w:p>
          <w:p w14:paraId="653CB17A" w14:textId="530D6755" w:rsidR="00FD0F62" w:rsidRPr="00FD0F62" w:rsidRDefault="00FD0F62" w:rsidP="00FD0F62">
            <w:pPr>
              <w:pStyle w:val="Default"/>
              <w:jc w:val="center"/>
              <w:rPr>
                <w:rStyle w:val="A4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eastAsiaTheme="minorEastAsia"/>
                <w:noProof/>
                <w:lang w:val="en-US" w:eastAsia="zh-CN"/>
              </w:rPr>
              <w:lastRenderedPageBreak/>
              <w:drawing>
                <wp:inline distT="0" distB="0" distL="0" distR="0" wp14:anchorId="719F179B" wp14:editId="25294557">
                  <wp:extent cx="2583180" cy="256032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148F81F" w14:textId="77777777" w:rsidR="00FD0F62" w:rsidRDefault="00FD0F62" w:rsidP="00FD0F62">
            <w:pPr>
              <w:pStyle w:val="Default"/>
              <w:jc w:val="center"/>
              <w:rPr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Figure 2: Precision of </w:t>
            </w:r>
            <w:proofErr w:type="spellStart"/>
            <w:r>
              <w:rPr>
                <w:i/>
                <w:color w:val="0D0D0D"/>
                <w:sz w:val="21"/>
                <w:szCs w:val="21"/>
                <w:shd w:val="clear" w:color="auto" w:fill="FFFFFF"/>
              </w:rPr>
              <w:t>Picea</w:t>
            </w:r>
            <w:proofErr w:type="spellEnd"/>
            <w:r>
              <w:rPr>
                <w:color w:val="0D0D0D"/>
                <w:sz w:val="21"/>
                <w:szCs w:val="21"/>
                <w:shd w:val="clear" w:color="auto" w:fill="FFFFFF"/>
              </w:rPr>
              <w:t xml:space="preserve"> biomass estimation in forest stand.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4720E2AF" w14:textId="77777777" w:rsidR="00FD0F62" w:rsidRDefault="00FD0F62" w:rsidP="00FD0F6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This study validates the feasibility of forest Stand-Scale Biomass estimation using Timber Cruising and ALS Data, t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 accuracy is consistent with the widely used plot-scale ABA method. The dependency on actual measured sample plots is greatly reduced for mapping biomass at the farm level.</w:t>
            </w:r>
          </w:p>
          <w:p w14:paraId="53A51D14" w14:textId="77777777" w:rsidR="00FD0F62" w:rsidRDefault="00FD0F62" w:rsidP="00FD0F6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0596960" w14:textId="77777777" w:rsidR="00FD0F62" w:rsidRDefault="00FD0F62" w:rsidP="00FD0F62">
            <w:pPr>
              <w:ind w:left="482" w:hanging="482"/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宋体" w:hAnsi="Arial" w:cs="Arial"/>
                <w:sz w:val="22"/>
                <w:szCs w:val="22"/>
                <w:lang w:val="de-CH" w:eastAsia="zh-CN"/>
              </w:rPr>
              <w:t xml:space="preserve">Du, Liming., Pang, Yong., Wang, Qiang., et al. 2023. </w:t>
            </w:r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“A LiDAR Biomass Index-Based Approach for Tree- and Plot-Level Biomass Mapping over Forest Farms Using 3D Point Clouds.” </w:t>
            </w:r>
            <w:r>
              <w:rPr>
                <w:rFonts w:ascii="Arial" w:eastAsia="宋体" w:hAnsi="Arial" w:cs="Arial"/>
                <w:i/>
                <w:iCs/>
                <w:sz w:val="22"/>
                <w:szCs w:val="22"/>
                <w:lang w:val="en-US" w:eastAsia="zh-CN"/>
              </w:rPr>
              <w:t>Remote Sensing of Environment</w:t>
            </w:r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 290 (5): 113543. doi:</w:t>
            </w:r>
            <w:hyperlink r:id="rId10" w:history="1">
              <w:r>
                <w:rPr>
                  <w:rStyle w:val="a9"/>
                  <w:rFonts w:ascii="Arial" w:eastAsia="宋体" w:hAnsi="Arial" w:cs="Arial"/>
                  <w:color w:val="0000FF"/>
                  <w:sz w:val="22"/>
                  <w:szCs w:val="22"/>
                  <w:lang w:val="en-US" w:eastAsia="zh-CN"/>
                </w:rPr>
                <w:t>10.1016/j.rse.2023.113543</w:t>
              </w:r>
            </w:hyperlink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>.</w:t>
            </w:r>
          </w:p>
          <w:p w14:paraId="012C4AF1" w14:textId="77777777" w:rsidR="00FD0F62" w:rsidRDefault="00FD0F62" w:rsidP="00FD0F62">
            <w:pPr>
              <w:ind w:left="482" w:hanging="482"/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>Xiong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, Hao., Pang, Yong., Jia, Wen., et al. 2024. “Forest Stand Delineation Using Airborne LiDAR and Hyperspectral Data.” </w:t>
            </w:r>
            <w:r>
              <w:rPr>
                <w:rFonts w:ascii="Arial" w:eastAsia="宋体" w:hAnsi="Arial" w:cs="Arial"/>
                <w:i/>
                <w:iCs/>
                <w:sz w:val="22"/>
                <w:szCs w:val="22"/>
                <w:lang w:val="en-US" w:eastAsia="zh-CN"/>
              </w:rPr>
              <w:t xml:space="preserve">Silva </w:t>
            </w:r>
            <w:proofErr w:type="spellStart"/>
            <w:r>
              <w:rPr>
                <w:rFonts w:ascii="Arial" w:eastAsia="宋体" w:hAnsi="Arial" w:cs="Arial"/>
                <w:i/>
                <w:iCs/>
                <w:sz w:val="22"/>
                <w:szCs w:val="22"/>
                <w:lang w:val="en-US" w:eastAsia="zh-CN"/>
              </w:rPr>
              <w:t>Fennica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 58 (2). doi:</w:t>
            </w:r>
            <w:hyperlink r:id="rId11" w:history="1">
              <w:r>
                <w:rPr>
                  <w:rStyle w:val="a9"/>
                  <w:rFonts w:ascii="Arial" w:eastAsia="宋体" w:hAnsi="Arial" w:cs="Arial"/>
                  <w:color w:val="0000FF"/>
                  <w:sz w:val="22"/>
                  <w:szCs w:val="22"/>
                  <w:lang w:val="en-US" w:eastAsia="zh-CN"/>
                </w:rPr>
                <w:t>10.14214/sf.23014</w:t>
              </w:r>
            </w:hyperlink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>.</w:t>
            </w:r>
          </w:p>
          <w:p w14:paraId="1B43A279" w14:textId="77777777" w:rsidR="00FD0F62" w:rsidRDefault="00FD0F62" w:rsidP="00FD0F62">
            <w:pPr>
              <w:ind w:left="482" w:hanging="482"/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>Tompalski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, Piotr., Joanne C. White., Nicholas C. Coops., et al. 2019. “Demonstrating the Transferability of Forest Inventory Attribute Models Derived Using Airborne Laser Scanning Data.” </w:t>
            </w:r>
            <w:r>
              <w:rPr>
                <w:rFonts w:ascii="Arial" w:eastAsia="宋体" w:hAnsi="Arial" w:cs="Arial"/>
                <w:i/>
                <w:iCs/>
                <w:sz w:val="22"/>
                <w:szCs w:val="22"/>
                <w:lang w:val="en-US" w:eastAsia="zh-CN"/>
              </w:rPr>
              <w:t>Remote Sensing of Environment</w:t>
            </w:r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 xml:space="preserve"> 227 (6): 110-124. doi:</w:t>
            </w:r>
            <w:hyperlink r:id="rId12" w:history="1">
              <w:r>
                <w:rPr>
                  <w:rStyle w:val="a9"/>
                  <w:rFonts w:ascii="Arial" w:eastAsia="宋体" w:hAnsi="Arial" w:cs="Arial"/>
                  <w:color w:val="0000FF"/>
                  <w:sz w:val="22"/>
                  <w:szCs w:val="22"/>
                  <w:lang w:val="en-US" w:eastAsia="zh-CN"/>
                </w:rPr>
                <w:t>10.1016/j.rse.2019.04.006</w:t>
              </w:r>
            </w:hyperlink>
            <w:r>
              <w:rPr>
                <w:rFonts w:ascii="Arial" w:eastAsia="宋体" w:hAnsi="Arial" w:cs="Arial"/>
                <w:sz w:val="22"/>
                <w:szCs w:val="22"/>
                <w:lang w:val="en-US" w:eastAsia="zh-CN"/>
              </w:rPr>
              <w:t>.</w:t>
            </w:r>
          </w:p>
          <w:p w14:paraId="0CBCB02C" w14:textId="77777777" w:rsidR="00FD0F62" w:rsidRDefault="00FD0F62" w:rsidP="00FD0F6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F58D34F" w14:textId="6E1C3B3B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51574E"/>
    <w:rsid w:val="008803FA"/>
    <w:rsid w:val="00B12E32"/>
    <w:rsid w:val="00CF7FFC"/>
    <w:rsid w:val="00E0700F"/>
    <w:rsid w:val="00E21DB5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EastAsia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FD0F62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10">
    <w:name w:val="标题 1 字符"/>
    <w:basedOn w:val="a0"/>
    <w:link w:val="1"/>
    <w:uiPriority w:val="9"/>
    <w:rsid w:val="00FD0F62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paragraph" w:styleId="a3">
    <w:name w:val="annotation text"/>
    <w:basedOn w:val="a"/>
    <w:link w:val="a5"/>
    <w:uiPriority w:val="99"/>
    <w:semiHidden/>
    <w:unhideWhenUsed/>
    <w:rsid w:val="00FD0F62"/>
  </w:style>
  <w:style w:type="character" w:customStyle="1" w:styleId="a5">
    <w:name w:val="批注文字 字符"/>
    <w:basedOn w:val="a0"/>
    <w:link w:val="a3"/>
    <w:uiPriority w:val="99"/>
    <w:semiHidden/>
    <w:rsid w:val="00FD0F6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annotation reference"/>
    <w:basedOn w:val="a0"/>
    <w:uiPriority w:val="99"/>
    <w:semiHidden/>
    <w:unhideWhenUsed/>
    <w:rsid w:val="00FD0F62"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D0F6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0F6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a9">
    <w:name w:val="Hyperlink"/>
    <w:basedOn w:val="a0"/>
    <w:uiPriority w:val="99"/>
    <w:semiHidden/>
    <w:unhideWhenUsed/>
    <w:rsid w:val="00FD0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rse.2019.04.0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4214/sf.23014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016/j.rse.2023.113543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E4D87F7B-40E9-42E6-BF80-14874AB7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ak_47</cp:lastModifiedBy>
  <cp:revision>2</cp:revision>
  <dcterms:created xsi:type="dcterms:W3CDTF">2024-03-31T05:28:00Z</dcterms:created>
  <dcterms:modified xsi:type="dcterms:W3CDTF">2024-03-31T05:28:00Z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