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1C3E89D" w14:textId="77777777" w:rsidR="008A1335" w:rsidRPr="00106A71" w:rsidRDefault="008A1335" w:rsidP="008A13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6A71">
              <w:rPr>
                <w:rFonts w:ascii="Arial" w:hAnsi="Arial" w:cs="Arial"/>
                <w:b/>
                <w:sz w:val="22"/>
                <w:szCs w:val="22"/>
              </w:rPr>
              <w:t xml:space="preserve">The analysis of cervical screening </w:t>
            </w:r>
            <w:r w:rsidRPr="00106A71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data</w:t>
            </w:r>
            <w:r w:rsidRPr="00106A71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 xml:space="preserve"> in 2 million </w:t>
            </w:r>
            <w:r w:rsidRPr="00106A71">
              <w:rPr>
                <w:rFonts w:ascii="Arial" w:hAnsi="Arial" w:cs="Arial"/>
                <w:b/>
                <w:sz w:val="22"/>
                <w:szCs w:val="22"/>
              </w:rPr>
              <w:t xml:space="preserve">Chinese female </w:t>
            </w:r>
            <w:r w:rsidRPr="00106A71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 xml:space="preserve">physical </w:t>
            </w:r>
            <w:r w:rsidRPr="00106A71">
              <w:rPr>
                <w:rFonts w:ascii="Arial" w:hAnsi="Arial" w:cs="Arial"/>
                <w:b/>
                <w:sz w:val="22"/>
                <w:szCs w:val="22"/>
              </w:rPr>
              <w:t>examination population in 2017</w:t>
            </w:r>
          </w:p>
          <w:p w14:paraId="5A4DE24F" w14:textId="65C6AC11" w:rsidR="002B7FC8" w:rsidRPr="00242808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557AD1E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94D50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737C1D0" w14:textId="77777777" w:rsidR="008A1335" w:rsidRPr="00216C45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16CCE">
              <w:rPr>
                <w:rFonts w:ascii="Arial" w:hAnsi="Arial" w:cs="Arial"/>
                <w:sz w:val="22"/>
                <w:szCs w:val="22"/>
              </w:rPr>
              <w:t xml:space="preserve">Cervical cancer is the </w:t>
            </w:r>
            <w:r>
              <w:rPr>
                <w:rFonts w:ascii="Arial" w:hAnsi="Arial" w:cs="Arial"/>
                <w:sz w:val="22"/>
                <w:szCs w:val="22"/>
              </w:rPr>
              <w:t>fourth most common cancer in women and seventh overall worldwide, with a third of new cases occurring in China</w:t>
            </w:r>
            <w:r w:rsidRPr="00F3142C">
              <w:rPr>
                <w:rFonts w:ascii="Arial" w:hAnsi="Arial" w:cs="Arial"/>
                <w:sz w:val="22"/>
                <w:szCs w:val="22"/>
              </w:rPr>
              <w:t>.</w:t>
            </w:r>
            <w:r w:rsidRPr="00A16CCE">
              <w:rPr>
                <w:rFonts w:ascii="Arial" w:hAnsi="Arial" w:cs="Arial"/>
                <w:sz w:val="22"/>
                <w:szCs w:val="22"/>
              </w:rPr>
              <w:t xml:space="preserve"> The high mortality rate from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</w:t>
            </w:r>
            <w:r w:rsidRPr="00A16CCE">
              <w:rPr>
                <w:rFonts w:ascii="Arial" w:hAnsi="Arial" w:cs="Arial"/>
                <w:sz w:val="22"/>
                <w:szCs w:val="22"/>
              </w:rPr>
              <w:t>cervical cancer could be reduced through a comprehensive approach that includes prevention, early diagnosis, effective screening and treatment programmes.</w:t>
            </w:r>
            <w:r w:rsidRPr="004638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However, the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national wide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cervical screening data has not been reported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previously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Therefore, we conducted the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study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to analyse </w:t>
            </w:r>
            <w:r>
              <w:rPr>
                <w:rFonts w:ascii="Arial" w:hAnsi="Arial" w:cs="Arial"/>
                <w:sz w:val="22"/>
                <w:szCs w:val="22"/>
              </w:rPr>
              <w:t xml:space="preserve">cervical screening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2 million</w:t>
            </w:r>
            <w:r>
              <w:rPr>
                <w:rFonts w:ascii="Arial" w:hAnsi="Arial" w:cs="Arial"/>
                <w:sz w:val="22"/>
                <w:szCs w:val="22"/>
              </w:rPr>
              <w:t xml:space="preserve"> Chinese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8C8">
              <w:rPr>
                <w:rFonts w:ascii="Arial" w:hAnsi="Arial" w:cs="Arial"/>
                <w:sz w:val="22"/>
                <w:szCs w:val="22"/>
              </w:rPr>
              <w:t xml:space="preserve">female </w:t>
            </w:r>
            <w:r>
              <w:rPr>
                <w:rFonts w:ascii="Arial" w:hAnsi="Arial" w:cs="Arial"/>
                <w:sz w:val="22"/>
                <w:szCs w:val="22"/>
              </w:rPr>
              <w:t>who had physical examination in 2017.</w:t>
            </w:r>
          </w:p>
          <w:p w14:paraId="31133AE8" w14:textId="77777777" w:rsidR="008A1335" w:rsidRPr="007D722E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790F3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8109CBD" w14:textId="77777777" w:rsidR="008A1335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C3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study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population included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5,522,658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females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 aged 18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and above </w:t>
            </w:r>
            <w:r>
              <w:rPr>
                <w:rFonts w:ascii="Arial" w:hAnsi="Arial" w:cs="Arial"/>
                <w:sz w:val="22"/>
                <w:szCs w:val="22"/>
              </w:rPr>
              <w:t xml:space="preserve">who attended physical examination 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in 30 provinces and cities </w:t>
            </w:r>
            <w:r>
              <w:rPr>
                <w:rFonts w:ascii="Arial" w:hAnsi="Arial" w:cs="Arial"/>
                <w:sz w:val="22"/>
                <w:szCs w:val="22"/>
              </w:rPr>
              <w:t>in China</w:t>
            </w:r>
            <w:r w:rsidRPr="00B70C3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Among them, </w:t>
            </w:r>
            <w:r w:rsidRPr="009E4232">
              <w:rPr>
                <w:rFonts w:ascii="Arial" w:hAnsi="Arial" w:cs="Arial"/>
                <w:sz w:val="22"/>
                <w:szCs w:val="22"/>
              </w:rPr>
              <w:t xml:space="preserve">2,045,607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participants who participated in the </w:t>
            </w:r>
            <w:proofErr w:type="spellStart"/>
            <w:r w:rsidRPr="00F62189">
              <w:rPr>
                <w:rFonts w:ascii="Arial" w:hAnsi="Arial" w:cs="Arial"/>
                <w:sz w:val="22"/>
                <w:szCs w:val="22"/>
              </w:rPr>
              <w:t>Thinprep</w:t>
            </w:r>
            <w:proofErr w:type="spellEnd"/>
            <w:r w:rsidRPr="00F62189">
              <w:rPr>
                <w:rFonts w:ascii="Arial" w:hAnsi="Arial" w:cs="Arial"/>
                <w:sz w:val="22"/>
                <w:szCs w:val="22"/>
              </w:rPr>
              <w:t xml:space="preserve"> Cytology Test</w:t>
            </w:r>
            <w:r>
              <w:rPr>
                <w:rFonts w:ascii="Arial" w:hAnsi="Arial" w:cs="Arial"/>
                <w:sz w:val="22"/>
                <w:szCs w:val="22"/>
              </w:rPr>
              <w:t xml:space="preserve"> (TCT), a common cervical screening method, were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final analysis population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positive result is defined as an abnormal result including </w:t>
            </w:r>
            <w:r w:rsidRPr="00D7540D">
              <w:rPr>
                <w:rFonts w:ascii="Arial" w:hAnsi="Arial" w:cs="Arial"/>
                <w:sz w:val="22"/>
                <w:szCs w:val="22"/>
              </w:rPr>
              <w:t>undefined atypical squamous epithelial cells, low-grade squamous intraepithelial lesions, highly squamous intraepithelial lesions and squamous cell carcinoma</w:t>
            </w:r>
            <w:r>
              <w:rPr>
                <w:rFonts w:ascii="Arial" w:hAnsi="Arial" w:cs="Arial"/>
                <w:sz w:val="22"/>
                <w:szCs w:val="22"/>
              </w:rPr>
              <w:t xml:space="preserve">.  All analyses were conducted using SAS 9.4. </w:t>
            </w:r>
          </w:p>
          <w:p w14:paraId="0059A5B4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68FDC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A399781" w14:textId="77777777" w:rsidR="008A1335" w:rsidRPr="00756FF9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E4232">
              <w:rPr>
                <w:rFonts w:ascii="Arial" w:hAnsi="Arial" w:cs="Arial"/>
                <w:sz w:val="22"/>
                <w:szCs w:val="22"/>
              </w:rPr>
              <w:t xml:space="preserve">The average age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analysis population </w:t>
            </w:r>
            <w:r w:rsidRPr="009E4232">
              <w:rPr>
                <w:rFonts w:ascii="Arial" w:hAnsi="Arial" w:cs="Arial"/>
                <w:sz w:val="22"/>
                <w:szCs w:val="22"/>
              </w:rPr>
              <w:t>was 43.0</w:t>
            </w:r>
            <w:r>
              <w:rPr>
                <w:rFonts w:ascii="Arial" w:hAnsi="Arial" w:cs="Arial"/>
                <w:sz w:val="22"/>
                <w:szCs w:val="22"/>
              </w:rPr>
              <w:t>±11.6 years old</w:t>
            </w:r>
            <w:r w:rsidRPr="009E423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9E4232">
              <w:rPr>
                <w:rFonts w:ascii="Arial" w:hAnsi="Arial" w:cs="Arial"/>
                <w:sz w:val="22"/>
                <w:szCs w:val="22"/>
              </w:rPr>
              <w:t xml:space="preserve"> positive detecti</w:t>
            </w:r>
            <w:r>
              <w:rPr>
                <w:rFonts w:ascii="Arial" w:hAnsi="Arial" w:cs="Arial"/>
                <w:sz w:val="22"/>
                <w:szCs w:val="22"/>
              </w:rPr>
              <w:t>on rate was 2.4</w:t>
            </w:r>
            <w:r w:rsidRPr="009E4232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(with 48,991 females with abnormal results). The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positive </w:t>
            </w:r>
            <w:r w:rsidRPr="009E4232">
              <w:rPr>
                <w:rFonts w:ascii="Arial" w:hAnsi="Arial" w:cs="Arial"/>
                <w:sz w:val="22"/>
                <w:szCs w:val="22"/>
              </w:rPr>
              <w:t>rate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increases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by age, reach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es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maximum of 2.9% </w:t>
            </w:r>
            <w:r>
              <w:rPr>
                <w:rFonts w:ascii="Arial" w:hAnsi="Arial" w:cs="Arial"/>
                <w:sz w:val="22"/>
                <w:szCs w:val="22"/>
              </w:rPr>
              <w:t xml:space="preserve">in the age group of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55-64, then slightly decreases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in the older age groups</w:t>
            </w:r>
            <w:r w:rsidRPr="009E423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The rate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s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also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vary widel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eastAsia="zh-CN"/>
              </w:rPr>
              <w:t>y by geographic area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, with </w:t>
            </w:r>
            <w:r w:rsidRPr="00E20C59">
              <w:rPr>
                <w:rFonts w:ascii="Arial" w:hAnsi="Arial" w:cs="Arial"/>
                <w:sz w:val="22"/>
                <w:szCs w:val="22"/>
              </w:rPr>
              <w:t>a high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er</w:t>
            </w:r>
            <w:r w:rsidRPr="00E20C59">
              <w:rPr>
                <w:rFonts w:ascii="Arial" w:hAnsi="Arial" w:cs="Arial"/>
                <w:sz w:val="22"/>
                <w:szCs w:val="22"/>
              </w:rPr>
              <w:t xml:space="preserve"> positive result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 the n</w:t>
            </w:r>
            <w:r w:rsidRPr="00E20C59">
              <w:rPr>
                <w:rFonts w:ascii="Arial" w:hAnsi="Arial" w:cs="Arial"/>
                <w:sz w:val="22"/>
                <w:szCs w:val="22"/>
              </w:rPr>
              <w:t>orthwest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orth,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central</w:t>
            </w:r>
            <w:r w:rsidRPr="00E20C5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south</w:t>
            </w:r>
            <w:r w:rsidRPr="00E20C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regions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of China </w:t>
            </w:r>
            <w:r>
              <w:rPr>
                <w:rFonts w:ascii="Arial" w:hAnsi="Arial" w:cs="Arial"/>
                <w:sz w:val="22"/>
                <w:szCs w:val="22"/>
              </w:rPr>
              <w:t xml:space="preserve">compared with the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other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region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s</w:t>
            </w:r>
            <w:r w:rsidRPr="00E20C5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761B00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6B62D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AB7BAC2" w14:textId="77777777" w:rsidR="008A1335" w:rsidRPr="00EE02FD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awareness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of cervical screening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should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be increased among Chinese female population.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The findings indicate that further efforts are needed to promote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implementation of a population-based cervical cancer prevention and control program in China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, in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particularly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among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priority</w:t>
            </w:r>
            <w:r w:rsidRPr="00EE02FD">
              <w:rPr>
                <w:rFonts w:ascii="Arial" w:hAnsi="Arial" w:cs="Arial"/>
                <w:sz w:val="22"/>
                <w:szCs w:val="22"/>
              </w:rPr>
              <w:t xml:space="preserve"> population to detect and control t</w:t>
            </w:r>
            <w:r>
              <w:rPr>
                <w:rFonts w:ascii="Arial" w:hAnsi="Arial" w:cs="Arial"/>
                <w:sz w:val="22"/>
                <w:szCs w:val="22"/>
              </w:rPr>
              <w:t xml:space="preserve">he risk of cervical cancer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at early stage</w:t>
            </w:r>
            <w:r w:rsidRPr="00EE02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847939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B43E5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4D866E8" w14:textId="77777777" w:rsidR="008A1335" w:rsidRDefault="008A1335" w:rsidP="008A13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F0AD64" w14:textId="77777777" w:rsidR="008A1335" w:rsidRDefault="008A1335" w:rsidP="008A1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Cervical screening; national 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physical</w:t>
            </w:r>
            <w:r>
              <w:rPr>
                <w:rFonts w:ascii="Arial" w:hAnsi="Arial" w:cs="Arial"/>
                <w:sz w:val="22"/>
                <w:szCs w:val="22"/>
              </w:rPr>
              <w:t xml:space="preserve"> examination population, China, Big data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A1335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6911e96c-4cc4-42d5-8e43-f93924cf6a05"/>
    <ds:schemaRef ds:uri="http://schemas.openxmlformats.org/package/2006/metadata/core-properties"/>
    <ds:schemaRef ds:uri="http://purl.org/dc/terms/"/>
    <ds:schemaRef ds:uri="9c8a2b7b-0bee-4c48-b0a6-23db8982d3bc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2018-09-15T06:33:00Z</dcterms:created>
  <dcterms:modified xsi:type="dcterms:W3CDTF">2018-09-15T06:33:00Z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